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1EE" w:rsidRDefault="00D511EE" w:rsidP="00525B88">
      <w:pPr>
        <w:rPr>
          <w:rFonts w:ascii="Garamond" w:hAnsi="Garamond"/>
          <w:b/>
          <w:sz w:val="40"/>
          <w:szCs w:val="40"/>
        </w:rPr>
      </w:pPr>
    </w:p>
    <w:p w:rsidR="00F76B8C" w:rsidRDefault="00C41CA0" w:rsidP="00525B88">
      <w:pPr>
        <w:jc w:val="center"/>
        <w:rPr>
          <w:rFonts w:ascii="Arial" w:hAnsi="Arial" w:cs="Arial"/>
          <w:b/>
          <w:sz w:val="40"/>
          <w:szCs w:val="40"/>
        </w:rPr>
      </w:pPr>
      <w:r w:rsidRPr="00317CCC">
        <w:rPr>
          <w:rFonts w:ascii="Arial" w:hAnsi="Arial" w:cs="Arial"/>
          <w:b/>
          <w:sz w:val="40"/>
          <w:szCs w:val="40"/>
        </w:rPr>
        <w:t>Exporte</w:t>
      </w:r>
      <w:r w:rsidR="005B0E63">
        <w:rPr>
          <w:rFonts w:ascii="Arial" w:hAnsi="Arial" w:cs="Arial"/>
          <w:b/>
          <w:sz w:val="40"/>
          <w:szCs w:val="40"/>
        </w:rPr>
        <w:t>rs and export</w:t>
      </w:r>
      <w:r w:rsidR="00525B88" w:rsidRPr="00317CCC">
        <w:rPr>
          <w:rFonts w:ascii="Arial" w:hAnsi="Arial" w:cs="Arial"/>
          <w:b/>
          <w:sz w:val="40"/>
          <w:szCs w:val="40"/>
        </w:rPr>
        <w:t xml:space="preserve"> diversification</w:t>
      </w:r>
      <w:r w:rsidRPr="00317CCC">
        <w:rPr>
          <w:rFonts w:ascii="Arial" w:hAnsi="Arial" w:cs="Arial"/>
          <w:b/>
          <w:sz w:val="40"/>
          <w:szCs w:val="40"/>
        </w:rPr>
        <w:t xml:space="preserve">: </w:t>
      </w:r>
    </w:p>
    <w:p w:rsidR="00F6600A" w:rsidRPr="00317CCC" w:rsidRDefault="00450FB5" w:rsidP="00525B88">
      <w:pPr>
        <w:jc w:val="center"/>
        <w:rPr>
          <w:rFonts w:ascii="Arial" w:hAnsi="Arial" w:cs="Arial"/>
          <w:b/>
          <w:sz w:val="40"/>
          <w:szCs w:val="40"/>
        </w:rPr>
      </w:pPr>
      <w:proofErr w:type="gramStart"/>
      <w:r w:rsidRPr="00317CCC">
        <w:rPr>
          <w:rFonts w:ascii="Arial" w:hAnsi="Arial" w:cs="Arial"/>
          <w:b/>
          <w:sz w:val="40"/>
          <w:szCs w:val="40"/>
        </w:rPr>
        <w:t>evidence</w:t>
      </w:r>
      <w:proofErr w:type="gramEnd"/>
      <w:r w:rsidRPr="00317CCC">
        <w:rPr>
          <w:rFonts w:ascii="Arial" w:hAnsi="Arial" w:cs="Arial"/>
          <w:b/>
          <w:sz w:val="40"/>
          <w:szCs w:val="40"/>
        </w:rPr>
        <w:t xml:space="preserve"> from </w:t>
      </w:r>
      <w:r w:rsidR="00D51C1D" w:rsidRPr="00317CCC">
        <w:rPr>
          <w:rFonts w:ascii="Arial" w:hAnsi="Arial" w:cs="Arial"/>
          <w:b/>
          <w:sz w:val="40"/>
          <w:szCs w:val="40"/>
        </w:rPr>
        <w:t>M</w:t>
      </w:r>
      <w:r w:rsidR="00357804" w:rsidRPr="00317CCC">
        <w:rPr>
          <w:rFonts w:ascii="Arial" w:hAnsi="Arial" w:cs="Arial"/>
          <w:b/>
          <w:sz w:val="40"/>
          <w:szCs w:val="40"/>
        </w:rPr>
        <w:t>ali</w:t>
      </w:r>
    </w:p>
    <w:p w:rsidR="00982183" w:rsidRDefault="00982183" w:rsidP="00182206">
      <w:pPr>
        <w:jc w:val="center"/>
        <w:rPr>
          <w:rFonts w:ascii="Garamond" w:hAnsi="Garamond"/>
          <w:b/>
          <w:szCs w:val="22"/>
        </w:rPr>
      </w:pPr>
    </w:p>
    <w:p w:rsidR="00DE58F5" w:rsidRDefault="00DE58F5" w:rsidP="00182206">
      <w:pPr>
        <w:jc w:val="center"/>
        <w:rPr>
          <w:lang w:val="es-ES"/>
        </w:rPr>
      </w:pPr>
      <w:r w:rsidRPr="001C6C4B">
        <w:rPr>
          <w:lang w:val="it-IT"/>
        </w:rPr>
        <w:t>Ana Cristina Molina</w:t>
      </w:r>
      <w:r w:rsidRPr="004F3F3E">
        <w:rPr>
          <w:rStyle w:val="Appelnotedebasdep"/>
        </w:rPr>
        <w:footnoteReference w:customMarkFollows="1" w:id="2"/>
        <w:sym w:font="Symbol" w:char="F02A"/>
      </w:r>
      <w:r w:rsidR="00BE7B81" w:rsidRPr="00743C70">
        <w:rPr>
          <w:rStyle w:val="Appelnotedebasdep"/>
          <w:lang w:val="es-ES"/>
        </w:rPr>
        <w:t xml:space="preserve">                                                          </w:t>
      </w:r>
      <w:r w:rsidR="00BE7B81" w:rsidRPr="00743C70">
        <w:rPr>
          <w:lang w:val="es-ES"/>
        </w:rPr>
        <w:t xml:space="preserve">Leonardo </w:t>
      </w:r>
      <w:proofErr w:type="spellStart"/>
      <w:r w:rsidR="00BE7B81" w:rsidRPr="00743C70">
        <w:rPr>
          <w:lang w:val="es-ES"/>
        </w:rPr>
        <w:t>Iacovone</w:t>
      </w:r>
      <w:proofErr w:type="spellEnd"/>
      <w:r w:rsidR="00BE7B81" w:rsidRPr="00743C70">
        <w:rPr>
          <w:rStyle w:val="Appelnotedebasdep"/>
          <w:lang w:val="es-ES"/>
        </w:rPr>
        <w:footnoteReference w:customMarkFollows="1" w:id="3"/>
        <w:t>†</w:t>
      </w:r>
    </w:p>
    <w:p w:rsidR="00182206" w:rsidRPr="00743C70" w:rsidRDefault="00182206" w:rsidP="00F76B8C">
      <w:pPr>
        <w:rPr>
          <w:lang w:val="es-ES"/>
        </w:rPr>
      </w:pPr>
    </w:p>
    <w:p w:rsidR="00114371" w:rsidRDefault="00376E02" w:rsidP="00A03AB1">
      <w:pPr>
        <w:jc w:val="center"/>
      </w:pPr>
      <w:r>
        <w:t>Draft</w:t>
      </w:r>
      <w:r w:rsidR="00DE58F5" w:rsidRPr="00317AFB">
        <w:t xml:space="preserve">: </w:t>
      </w:r>
      <w:r w:rsidR="00CF5BD5">
        <w:t>October 2</w:t>
      </w:r>
      <w:r w:rsidR="00CF5BD5" w:rsidRPr="00CF5BD5">
        <w:rPr>
          <w:vertAlign w:val="superscript"/>
        </w:rPr>
        <w:t>nd</w:t>
      </w:r>
      <w:r w:rsidR="00DE58F5">
        <w:t>, 2011</w:t>
      </w:r>
    </w:p>
    <w:p w:rsidR="00A03AB1" w:rsidRPr="00B0279A" w:rsidRDefault="000522C4" w:rsidP="00A03AB1">
      <w:pPr>
        <w:pStyle w:val="NormalWeb"/>
        <w:jc w:val="center"/>
        <w:rPr>
          <w:rFonts w:ascii="Garamond" w:hAnsi="Garamond"/>
          <w:b/>
          <w:bCs w:val="0"/>
          <w:sz w:val="36"/>
          <w:szCs w:val="36"/>
          <w:lang w:val="en-GB"/>
        </w:rPr>
      </w:pPr>
      <w:r w:rsidRPr="000522C4">
        <w:rPr>
          <w:rFonts w:ascii="Garamond" w:hAnsi="Garamond"/>
          <w:noProof/>
          <w:sz w:val="36"/>
          <w:szCs w:val="36"/>
          <w:lang w:val="en-GB" w:eastAsia="en-GB"/>
        </w:rPr>
        <w:pict>
          <v:shapetype id="_x0000_t202" coordsize="21600,21600" o:spt="202" path="m,l,21600r21600,l21600,xe">
            <v:stroke joinstyle="miter"/>
            <v:path gradientshapeok="t" o:connecttype="rect"/>
          </v:shapetype>
          <v:shape id="Text Box 7" o:spid="_x0000_s1026" type="#_x0000_t202" style="position:absolute;left:0;text-align:left;margin-left:91pt;margin-top:308.75pt;width:409.35pt;height:300.45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" stroked="f">
            <v:textbox>
              <w:txbxContent>
                <w:p w:rsidR="002424CF" w:rsidRDefault="002424CF" w:rsidP="00BC7B42">
                  <w:pPr>
                    <w:keepNext w:val="0"/>
                    <w:autoSpaceDE w:val="0"/>
                    <w:autoSpaceDN w:val="0"/>
                    <w:adjustRightInd w:val="0"/>
                  </w:pPr>
                  <w:r w:rsidRPr="0054130B">
                    <w:rPr>
                      <w:rFonts w:ascii="Garamond" w:hAnsi="Garamond"/>
                      <w:b/>
                      <w:bCs w:val="0"/>
                      <w:lang w:val="en-GB"/>
                    </w:rPr>
                    <w:t>Abstract:</w:t>
                  </w:r>
                  <w:r>
                    <w:rPr>
                      <w:rFonts w:ascii="Garamond" w:hAnsi="Garamond"/>
                      <w:b/>
                      <w:bCs w:val="0"/>
                      <w:lang w:val="en-GB"/>
                    </w:rPr>
                    <w:t xml:space="preserve">  </w:t>
                  </w:r>
                  <w:r>
                    <w:t>By expanding trade and reducing export concentration, export diversification is widely recognized as an important driver of economic growth. Diversification remains a challenge especially for African countries as exporting itself is a difficult, risky and complex activity. A country’s capacity to diversify indeed depends on the ability of its exporters</w:t>
                  </w:r>
                  <w:r>
                    <w:rPr>
                      <w:rFonts w:eastAsia="SimSun"/>
                    </w:rPr>
                    <w:t xml:space="preserve"> </w:t>
                  </w:r>
                  <w:r>
                    <w:t xml:space="preserve">to introduce new products, serve new markets and survive. </w:t>
                  </w:r>
                  <w:r>
                    <w:rPr>
                      <w:rFonts w:cs="Times New Roman"/>
                      <w:bCs w:val="0"/>
                      <w:lang w:val="en-GB"/>
                    </w:rPr>
                    <w:t xml:space="preserve">Relying on a novel dataset from Mali that contains the universe of export firm-level data for the period 2005-2008, </w:t>
                  </w:r>
                  <w:r>
                    <w:rPr>
                      <w:szCs w:val="22"/>
                    </w:rPr>
                    <w:t>t</w:t>
                  </w:r>
                  <w:r w:rsidRPr="003B0792">
                    <w:rPr>
                      <w:szCs w:val="22"/>
                    </w:rPr>
                    <w:t>his pa</w:t>
                  </w:r>
                  <w:r w:rsidRPr="0050520B">
                    <w:rPr>
                      <w:szCs w:val="22"/>
                    </w:rPr>
                    <w:t>per</w:t>
                  </w:r>
                  <w:r>
                    <w:rPr>
                      <w:szCs w:val="22"/>
                    </w:rPr>
                    <w:t xml:space="preserve"> investigates</w:t>
                  </w:r>
                  <w:r w:rsidRPr="0050520B">
                    <w:rPr>
                      <w:szCs w:val="22"/>
                    </w:rPr>
                    <w:t xml:space="preserve"> </w:t>
                  </w:r>
                  <w:r>
                    <w:rPr>
                      <w:szCs w:val="22"/>
                    </w:rPr>
                    <w:t xml:space="preserve">the </w:t>
                  </w:r>
                  <w:r>
                    <w:t>effect of supply-side and demand-side determinants on the probability of exporters to (</w:t>
                  </w:r>
                  <w:proofErr w:type="spellStart"/>
                  <w:r>
                    <w:t>i</w:t>
                  </w:r>
                  <w:proofErr w:type="spellEnd"/>
                  <w:r>
                    <w:t xml:space="preserve">) introduce a new product (ii) serve a new market and (iii) survive. </w:t>
                  </w:r>
                  <w:r>
                    <w:rPr>
                      <w:rFonts w:eastAsia="SimSun"/>
                    </w:rPr>
                    <w:t xml:space="preserve">Our results suggest first that market experience is a critical driver of product diversification, while transport costs constitute a major obstacle. Second, </w:t>
                  </w:r>
                  <w:r>
                    <w:t xml:space="preserve">product experience and the existence of a support </w:t>
                  </w:r>
                  <w:r w:rsidRPr="005D2DA2">
                    <w:t>program</w:t>
                  </w:r>
                  <w:r>
                    <w:t xml:space="preserve"> have a positive effect on the probability to break into a new market. However, we cannot establish the directionality of the effect of the support program due to its potential </w:t>
                  </w:r>
                  <w:proofErr w:type="spellStart"/>
                  <w:r>
                    <w:t>endogeneity</w:t>
                  </w:r>
                  <w:proofErr w:type="spellEnd"/>
                  <w:r>
                    <w:t>.</w:t>
                  </w:r>
                  <w:r w:rsidRPr="006D0796">
                    <w:t xml:space="preserve"> </w:t>
                  </w:r>
                  <w:r>
                    <w:t xml:space="preserve">Third, we find that market and product experience, as well as the existence of a support program have a positive effect on the survival of young exporters. Finally, our findings show that distance from the market has a negative effect on the probability of surviving. These results suggest that policies aiming at reducing transport costs and information asymmetries (e.g. export promotion activities) may be especially helpful in promoting export diversification in African countries such as Mali.  </w:t>
                  </w:r>
                </w:p>
                <w:p w:rsidR="002424CF" w:rsidRPr="00EE420E" w:rsidRDefault="002424CF" w:rsidP="00843781"/>
                <w:p w:rsidR="002424CF" w:rsidRDefault="002424CF" w:rsidP="00A03AB1"/>
                <w:p w:rsidR="002424CF" w:rsidRPr="006C22B3" w:rsidRDefault="002424CF" w:rsidP="00A03AB1">
                  <w:pPr>
                    <w:rPr>
                      <w:szCs w:val="22"/>
                    </w:rPr>
                  </w:pPr>
                </w:p>
              </w:txbxContent>
            </v:textbox>
            <w10:wrap anchorx="page" anchory="page"/>
          </v:shape>
        </w:pict>
      </w:r>
    </w:p>
    <w:p w:rsidR="00A03AB1" w:rsidRPr="00B0279A" w:rsidRDefault="00A03AB1" w:rsidP="00A03AB1">
      <w:pPr>
        <w:tabs>
          <w:tab w:val="left" w:pos="1350"/>
          <w:tab w:val="center" w:pos="4200"/>
        </w:tabs>
        <w:rPr>
          <w:rFonts w:ascii="Garamond" w:hAnsi="Garamond"/>
          <w:sz w:val="36"/>
          <w:szCs w:val="36"/>
          <w:lang w:val="en-GB"/>
        </w:rPr>
      </w:pPr>
      <w:r w:rsidRPr="00B0279A">
        <w:rPr>
          <w:rFonts w:ascii="Garamond" w:hAnsi="Garamond"/>
          <w:sz w:val="36"/>
          <w:szCs w:val="36"/>
          <w:lang w:val="en-GB"/>
        </w:rPr>
        <w:tab/>
      </w:r>
    </w:p>
    <w:p w:rsidR="00A03AB1" w:rsidRPr="00B0279A" w:rsidRDefault="00A03AB1" w:rsidP="00A03AB1">
      <w:pPr>
        <w:jc w:val="center"/>
        <w:rPr>
          <w:rFonts w:ascii="Garamond" w:hAnsi="Garamond"/>
          <w:sz w:val="36"/>
          <w:szCs w:val="36"/>
          <w:lang w:val="en-GB"/>
        </w:rPr>
      </w:pPr>
    </w:p>
    <w:p w:rsidR="00A03AB1" w:rsidRPr="00B0279A" w:rsidRDefault="00A03AB1" w:rsidP="00A03AB1">
      <w:pPr>
        <w:jc w:val="center"/>
        <w:rPr>
          <w:rFonts w:ascii="Garamond" w:hAnsi="Garamond"/>
          <w:sz w:val="36"/>
          <w:szCs w:val="36"/>
          <w:lang w:val="en-GB"/>
        </w:rPr>
      </w:pPr>
    </w:p>
    <w:p w:rsidR="00A03AB1" w:rsidRPr="00B0279A" w:rsidRDefault="00A03AB1" w:rsidP="00A03AB1">
      <w:pPr>
        <w:jc w:val="center"/>
        <w:rPr>
          <w:rFonts w:ascii="Garamond" w:hAnsi="Garamond"/>
          <w:sz w:val="36"/>
          <w:szCs w:val="36"/>
          <w:lang w:val="en-GB"/>
        </w:rPr>
      </w:pPr>
    </w:p>
    <w:p w:rsidR="00A03AB1" w:rsidRPr="00B0279A" w:rsidRDefault="00A03AB1" w:rsidP="00A03AB1">
      <w:pPr>
        <w:jc w:val="center"/>
        <w:rPr>
          <w:rFonts w:ascii="Garamond" w:hAnsi="Garamond"/>
          <w:sz w:val="36"/>
          <w:szCs w:val="36"/>
          <w:lang w:val="en-GB"/>
        </w:rPr>
      </w:pPr>
    </w:p>
    <w:p w:rsidR="00A03AB1" w:rsidRPr="00B0279A" w:rsidRDefault="00A03AB1" w:rsidP="00A03AB1">
      <w:pPr>
        <w:jc w:val="center"/>
        <w:rPr>
          <w:rFonts w:ascii="Garamond" w:hAnsi="Garamond"/>
          <w:sz w:val="36"/>
          <w:szCs w:val="36"/>
          <w:lang w:val="en-GB"/>
        </w:rPr>
      </w:pPr>
    </w:p>
    <w:p w:rsidR="00A03AB1" w:rsidRPr="00B0279A" w:rsidRDefault="00A03AB1" w:rsidP="00A03AB1">
      <w:pPr>
        <w:jc w:val="center"/>
        <w:rPr>
          <w:rFonts w:ascii="Garamond" w:hAnsi="Garamond"/>
          <w:sz w:val="36"/>
          <w:szCs w:val="36"/>
          <w:lang w:val="en-GB"/>
        </w:rPr>
      </w:pPr>
    </w:p>
    <w:p w:rsidR="00A03AB1" w:rsidRPr="00B0279A" w:rsidRDefault="00A03AB1" w:rsidP="00A03AB1">
      <w:pPr>
        <w:ind w:firstLine="708"/>
        <w:rPr>
          <w:lang w:val="en-GB"/>
        </w:rPr>
      </w:pPr>
    </w:p>
    <w:p w:rsidR="00127149" w:rsidRDefault="00127149" w:rsidP="00127149">
      <w:pPr>
        <w:rPr>
          <w:b/>
          <w:bCs w:val="0"/>
          <w:szCs w:val="22"/>
          <w:lang w:val="en-GB"/>
        </w:rPr>
      </w:pPr>
    </w:p>
    <w:p w:rsidR="0003506F" w:rsidRDefault="0003506F" w:rsidP="00127149">
      <w:pPr>
        <w:rPr>
          <w:b/>
          <w:bCs w:val="0"/>
          <w:szCs w:val="22"/>
          <w:lang w:val="en-GB"/>
        </w:rPr>
      </w:pPr>
    </w:p>
    <w:p w:rsidR="00127149" w:rsidRPr="000D4F44" w:rsidRDefault="00127149" w:rsidP="00127149">
      <w:pPr>
        <w:ind w:left="720"/>
        <w:rPr>
          <w:szCs w:val="22"/>
          <w:lang w:val="en-GB"/>
        </w:rPr>
      </w:pPr>
      <w:r w:rsidRPr="000D4F44">
        <w:rPr>
          <w:b/>
          <w:bCs w:val="0"/>
          <w:szCs w:val="22"/>
          <w:lang w:val="en-GB"/>
        </w:rPr>
        <w:t>Keywords:</w:t>
      </w:r>
      <w:r>
        <w:rPr>
          <w:szCs w:val="22"/>
          <w:lang w:val="en-GB"/>
        </w:rPr>
        <w:t xml:space="preserve"> Export diversification, firm performance, diversification</w:t>
      </w:r>
      <w:r w:rsidRPr="000D4F44">
        <w:rPr>
          <w:szCs w:val="22"/>
          <w:lang w:val="en-GB"/>
        </w:rPr>
        <w:t xml:space="preserve"> </w:t>
      </w:r>
    </w:p>
    <w:p w:rsidR="00CC0F79" w:rsidRDefault="00127149" w:rsidP="00127149">
      <w:pPr>
        <w:rPr>
          <w:szCs w:val="22"/>
          <w:lang w:val="en-GB"/>
        </w:rPr>
      </w:pPr>
      <w:r>
        <w:rPr>
          <w:b/>
          <w:bCs w:val="0"/>
          <w:szCs w:val="22"/>
          <w:lang w:val="en-GB"/>
        </w:rPr>
        <w:tab/>
      </w:r>
      <w:r w:rsidRPr="000D4F44">
        <w:rPr>
          <w:b/>
          <w:bCs w:val="0"/>
          <w:szCs w:val="22"/>
          <w:lang w:val="en-GB"/>
        </w:rPr>
        <w:t>JEL classifications:</w:t>
      </w:r>
      <w:r>
        <w:rPr>
          <w:szCs w:val="22"/>
          <w:lang w:val="en-GB"/>
        </w:rPr>
        <w:t xml:space="preserve"> F19, L25</w:t>
      </w:r>
    </w:p>
    <w:p w:rsidR="00484740" w:rsidRDefault="00484740" w:rsidP="00127149">
      <w:pPr>
        <w:rPr>
          <w:szCs w:val="22"/>
          <w:lang w:val="en-GB"/>
        </w:rPr>
      </w:pPr>
    </w:p>
    <w:p w:rsidR="000610DD" w:rsidRDefault="000610DD" w:rsidP="00127149">
      <w:pPr>
        <w:rPr>
          <w:szCs w:val="22"/>
          <w:lang w:val="en-GB"/>
        </w:rPr>
      </w:pPr>
    </w:p>
    <w:p w:rsidR="006C038D" w:rsidRDefault="00011E28" w:rsidP="00BE4B76">
      <w:pPr>
        <w:pStyle w:val="Style1"/>
      </w:pPr>
      <w:bookmarkStart w:id="0" w:name="_Toc303332492"/>
      <w:bookmarkStart w:id="1" w:name="_Toc305445908"/>
      <w:r w:rsidRPr="00E8127B">
        <w:lastRenderedPageBreak/>
        <w:t>Introduction</w:t>
      </w:r>
      <w:bookmarkEnd w:id="0"/>
      <w:bookmarkEnd w:id="1"/>
      <w:r w:rsidR="00EE4542">
        <w:t xml:space="preserve"> </w:t>
      </w:r>
    </w:p>
    <w:p w:rsidR="002F244B" w:rsidRDefault="00DE57F4" w:rsidP="008C54B9">
      <w:r>
        <w:t xml:space="preserve">By expanding trade and reducing export concentration, export diversification is widely recognized as an important driver of economic growth </w:t>
      </w:r>
      <w:r w:rsidRPr="00B64809">
        <w:t xml:space="preserve">(see </w:t>
      </w:r>
      <w:r w:rsidRPr="00B64809">
        <w:rPr>
          <w:i/>
        </w:rPr>
        <w:t>inter alia</w:t>
      </w:r>
      <w:r w:rsidRPr="00B64809">
        <w:t xml:space="preserve"> </w:t>
      </w:r>
      <w:proofErr w:type="spellStart"/>
      <w:r>
        <w:t>Cadot</w:t>
      </w:r>
      <w:proofErr w:type="spellEnd"/>
      <w:r>
        <w:t>,</w:t>
      </w:r>
      <w:r w:rsidRPr="00B64809">
        <w:t xml:space="preserve"> </w:t>
      </w:r>
      <w:proofErr w:type="spellStart"/>
      <w:r>
        <w:t>Carr</w:t>
      </w:r>
      <w:r>
        <w:rPr>
          <w:rFonts w:cs="Times New Roman"/>
        </w:rPr>
        <w:t>è</w:t>
      </w:r>
      <w:r>
        <w:t>re</w:t>
      </w:r>
      <w:proofErr w:type="spellEnd"/>
      <w:r>
        <w:t xml:space="preserve"> and Strauss-Kahn, 2010; </w:t>
      </w:r>
      <w:r w:rsidRPr="00B64809">
        <w:t>Lederman and Mal</w:t>
      </w:r>
      <w:r w:rsidRPr="004820A7">
        <w:t>oney, 2003; Al-</w:t>
      </w:r>
      <w:proofErr w:type="spellStart"/>
      <w:r w:rsidRPr="004820A7">
        <w:t>Marhubi</w:t>
      </w:r>
      <w:proofErr w:type="spellEnd"/>
      <w:r w:rsidRPr="004820A7">
        <w:t>, 2000)</w:t>
      </w:r>
      <w:r>
        <w:t>. D</w:t>
      </w:r>
      <w:r w:rsidRPr="004820A7">
        <w:t xml:space="preserve">espite </w:t>
      </w:r>
      <w:r>
        <w:t xml:space="preserve">drawing a lot of attention, export diversification </w:t>
      </w:r>
      <w:r w:rsidRPr="00B051E2">
        <w:t xml:space="preserve">remains a major </w:t>
      </w:r>
      <w:r>
        <w:t>challenge</w:t>
      </w:r>
      <w:r w:rsidRPr="00B051E2">
        <w:t xml:space="preserve"> for policy makers </w:t>
      </w:r>
      <w:r>
        <w:t xml:space="preserve">in </w:t>
      </w:r>
      <w:r w:rsidRPr="00B051E2">
        <w:t>developing countries</w:t>
      </w:r>
      <w:r>
        <w:t xml:space="preserve">, especially in Africa. Most studies addressing the issue have </w:t>
      </w:r>
      <w:r w:rsidR="00122499">
        <w:t>looked</w:t>
      </w:r>
      <w:r w:rsidR="00562049">
        <w:t xml:space="preserve"> </w:t>
      </w:r>
      <w:r w:rsidR="00122499">
        <w:t>at</w:t>
      </w:r>
      <w:r w:rsidR="00562049">
        <w:t xml:space="preserve"> the </w:t>
      </w:r>
      <w:r>
        <w:t>diversification process</w:t>
      </w:r>
      <w:r w:rsidR="001579FC">
        <w:t xml:space="preserve"> (and determinants)</w:t>
      </w:r>
      <w:r w:rsidR="00122499">
        <w:t xml:space="preserve"> from a country perspective</w:t>
      </w:r>
      <w:r w:rsidRPr="00C53A46">
        <w:t xml:space="preserve"> (see </w:t>
      </w:r>
      <w:r w:rsidRPr="006B3EB8">
        <w:rPr>
          <w:i/>
        </w:rPr>
        <w:t>inter alia</w:t>
      </w:r>
      <w:r w:rsidRPr="00C53A46">
        <w:t xml:space="preserve"> Shepherd, 2010; </w:t>
      </w:r>
      <w:proofErr w:type="spellStart"/>
      <w:r w:rsidRPr="00C53A46">
        <w:t>Amurgo</w:t>
      </w:r>
      <w:proofErr w:type="spellEnd"/>
      <w:r w:rsidRPr="00C53A46">
        <w:t xml:space="preserve"> and </w:t>
      </w:r>
      <w:proofErr w:type="spellStart"/>
      <w:r w:rsidRPr="00C53A46">
        <w:t>Pierola</w:t>
      </w:r>
      <w:proofErr w:type="spellEnd"/>
      <w:r w:rsidRPr="00C53A46">
        <w:t xml:space="preserve">, 2008; </w:t>
      </w:r>
      <w:proofErr w:type="spellStart"/>
      <w:r w:rsidRPr="00C53A46">
        <w:t>Gómez</w:t>
      </w:r>
      <w:proofErr w:type="spellEnd"/>
      <w:r w:rsidRPr="00C53A46">
        <w:t xml:space="preserve"> and Volpe, 2008)</w:t>
      </w:r>
      <w:r>
        <w:rPr>
          <w:lang w:val="en-GB"/>
        </w:rPr>
        <w:t xml:space="preserve">, </w:t>
      </w:r>
      <w:r w:rsidR="00122499">
        <w:rPr>
          <w:lang w:val="en-GB"/>
        </w:rPr>
        <w:t xml:space="preserve">but </w:t>
      </w:r>
      <w:r>
        <w:rPr>
          <w:lang w:val="en-GB"/>
        </w:rPr>
        <w:t xml:space="preserve">disregarded the </w:t>
      </w:r>
      <w:r w:rsidRPr="00C53A46">
        <w:t>firm-level dynamics</w:t>
      </w:r>
      <w:r>
        <w:t xml:space="preserve"> underpinning such process</w:t>
      </w:r>
      <w:r w:rsidRPr="00C53A46">
        <w:t xml:space="preserve">. </w:t>
      </w:r>
    </w:p>
    <w:p w:rsidR="00587DD8" w:rsidRDefault="002F244B" w:rsidP="008C54B9">
      <w:r>
        <w:t>Mali is a fascinating example of a country struggling to diversify its export activities. It is one of the countries with the highest export concentrations in Sub-Saharan Africa. In 2008</w:t>
      </w:r>
      <w:r w:rsidRPr="009570DA">
        <w:t xml:space="preserve">, </w:t>
      </w:r>
      <w:r>
        <w:t>about 8</w:t>
      </w:r>
      <w:r w:rsidRPr="009570DA">
        <w:t>5</w:t>
      </w:r>
      <w:r>
        <w:t xml:space="preserve"> percent of Mali’s export revenues came from just two products: gold (75 percent) and cotton (10 per cent).</w:t>
      </w:r>
      <w:r w:rsidR="0065365A">
        <w:t xml:space="preserve"> </w:t>
      </w:r>
      <w:r w:rsidR="00390428">
        <w:rPr>
          <w:rFonts w:cs="Times New Roman"/>
          <w:bCs w:val="0"/>
          <w:lang w:val="en-GB"/>
        </w:rPr>
        <w:t>Using a new</w:t>
      </w:r>
      <w:r w:rsidR="009C2776" w:rsidRPr="00C53A46">
        <w:rPr>
          <w:rFonts w:cs="Times New Roman"/>
          <w:bCs w:val="0"/>
          <w:lang w:val="en-GB"/>
        </w:rPr>
        <w:t xml:space="preserve"> dataset</w:t>
      </w:r>
      <w:r w:rsidR="00196023" w:rsidRPr="00C53A46">
        <w:rPr>
          <w:rFonts w:cs="Times New Roman"/>
          <w:bCs w:val="0"/>
          <w:lang w:val="en-GB"/>
        </w:rPr>
        <w:t xml:space="preserve">, </w:t>
      </w:r>
      <w:r w:rsidR="00096F44" w:rsidRPr="00C53A46">
        <w:rPr>
          <w:rFonts w:cs="Times New Roman"/>
          <w:bCs w:val="0"/>
          <w:lang w:val="en-GB"/>
        </w:rPr>
        <w:t>that contains the universe of export firm-level data for the period 2005-2008</w:t>
      </w:r>
      <w:r w:rsidR="00B352D7" w:rsidRPr="00C53A46">
        <w:rPr>
          <w:rFonts w:cs="Times New Roman"/>
          <w:bCs w:val="0"/>
          <w:lang w:val="en-GB"/>
        </w:rPr>
        <w:t xml:space="preserve"> for Mali</w:t>
      </w:r>
      <w:r w:rsidR="00096F44" w:rsidRPr="00C53A46">
        <w:rPr>
          <w:rFonts w:cs="Times New Roman"/>
          <w:bCs w:val="0"/>
          <w:lang w:val="en-GB"/>
        </w:rPr>
        <w:t xml:space="preserve">, </w:t>
      </w:r>
      <w:r w:rsidR="00A55DE5">
        <w:rPr>
          <w:szCs w:val="22"/>
        </w:rPr>
        <w:t>we investigate</w:t>
      </w:r>
      <w:r w:rsidR="00096F44" w:rsidRPr="0050520B">
        <w:rPr>
          <w:szCs w:val="22"/>
        </w:rPr>
        <w:t xml:space="preserve"> </w:t>
      </w:r>
      <w:r w:rsidR="00096F44">
        <w:rPr>
          <w:szCs w:val="22"/>
        </w:rPr>
        <w:t xml:space="preserve">the </w:t>
      </w:r>
      <w:r w:rsidR="00096F44">
        <w:t>effect of supply-side (i.e. firm characteristics) and demand-side (i.e. product and market characteristics) determinants on the probability of exporters to (</w:t>
      </w:r>
      <w:proofErr w:type="spellStart"/>
      <w:r w:rsidR="00096F44">
        <w:t>i</w:t>
      </w:r>
      <w:proofErr w:type="spellEnd"/>
      <w:r w:rsidR="00096F44">
        <w:t>) introduce a new product (ii) serve a new market and (</w:t>
      </w:r>
      <w:r w:rsidR="00196023">
        <w:t>iii) survive</w:t>
      </w:r>
      <w:r w:rsidR="00096F44">
        <w:t>.</w:t>
      </w:r>
    </w:p>
    <w:p w:rsidR="006F132C" w:rsidRPr="00D7735B" w:rsidRDefault="004067CF" w:rsidP="007A70C2">
      <w:pPr>
        <w:keepNext w:val="0"/>
        <w:widowControl w:val="0"/>
      </w:pPr>
      <w:r>
        <w:t xml:space="preserve">By introducing </w:t>
      </w:r>
      <w:r w:rsidRPr="00C53A46">
        <w:t>new products (product diversification), break</w:t>
      </w:r>
      <w:r>
        <w:t>ing</w:t>
      </w:r>
      <w:r w:rsidRPr="00C53A46">
        <w:t xml:space="preserve"> into new markets (geogr</w:t>
      </w:r>
      <w:r>
        <w:t>aphic diversification) or raising</w:t>
      </w:r>
      <w:r w:rsidRPr="00C53A46">
        <w:t xml:space="preserve"> the share of existing low-value exports in total trade</w:t>
      </w:r>
      <w:r>
        <w:t xml:space="preserve"> </w:t>
      </w:r>
      <w:r w:rsidRPr="00C53A46">
        <w:t>(consolidation)</w:t>
      </w:r>
      <w:r w:rsidR="00B51064" w:rsidRPr="00C53A46">
        <w:rPr>
          <w:rStyle w:val="Appelnotedebasdep"/>
        </w:rPr>
        <w:footnoteReference w:id="4"/>
      </w:r>
      <w:r>
        <w:t>, a country</w:t>
      </w:r>
      <w:r w:rsidR="00B51064">
        <w:t xml:space="preserve"> </w:t>
      </w:r>
      <w:r w:rsidR="002424CF">
        <w:t>can</w:t>
      </w:r>
      <w:r>
        <w:t xml:space="preserve"> </w:t>
      </w:r>
      <w:r w:rsidR="002F244B" w:rsidRPr="002F244B">
        <w:rPr>
          <w:rFonts w:cstheme="minorHAnsi"/>
        </w:rPr>
        <w:t xml:space="preserve">neutralize the negative effects </w:t>
      </w:r>
      <w:r w:rsidR="002F244B" w:rsidRPr="002F244B">
        <w:t>that</w:t>
      </w:r>
      <w:r w:rsidR="002F244B">
        <w:t xml:space="preserve"> concentration can have </w:t>
      </w:r>
      <w:r w:rsidR="00BF469F">
        <w:t xml:space="preserve">on a country’s </w:t>
      </w:r>
      <w:r w:rsidR="0065365A">
        <w:t xml:space="preserve">growth </w:t>
      </w:r>
      <w:r w:rsidR="00BF469F">
        <w:t xml:space="preserve">prospects </w:t>
      </w:r>
      <w:r w:rsidR="00BF469F" w:rsidRPr="00FA26B9">
        <w:t>(for a detailed survey see Frankel, 2010)</w:t>
      </w:r>
      <w:r w:rsidR="003A1261">
        <w:t>.</w:t>
      </w:r>
      <w:r w:rsidR="009E79A4">
        <w:t xml:space="preserve"> </w:t>
      </w:r>
      <w:r w:rsidR="003A1261">
        <w:t xml:space="preserve">Such effects </w:t>
      </w:r>
      <w:r w:rsidR="00BF469F">
        <w:t>were first highlighted by</w:t>
      </w:r>
      <w:r w:rsidR="003A1261">
        <w:t xml:space="preserve"> Singer (1950) and </w:t>
      </w:r>
      <w:proofErr w:type="spellStart"/>
      <w:r w:rsidR="003A1261">
        <w:t>Prebisch</w:t>
      </w:r>
      <w:proofErr w:type="spellEnd"/>
      <w:r w:rsidR="003A1261">
        <w:t xml:space="preserve"> (1950), who argued that diversification into manufacturing products, could thwart the deterioration of the terms of trade in </w:t>
      </w:r>
      <w:r w:rsidR="003A1261" w:rsidRPr="00FA26B9">
        <w:rPr>
          <w:rFonts w:cstheme="minorHAnsi"/>
        </w:rPr>
        <w:t>commodity-dependent countries</w:t>
      </w:r>
      <w:r w:rsidR="003A1261">
        <w:rPr>
          <w:rFonts w:cstheme="minorHAnsi"/>
        </w:rPr>
        <w:t>.</w:t>
      </w:r>
      <w:r w:rsidR="003A1261">
        <w:rPr>
          <w:rStyle w:val="Appelnotedebasdep"/>
          <w:rFonts w:cstheme="minorHAnsi"/>
        </w:rPr>
        <w:footnoteReference w:id="5"/>
      </w:r>
      <w:r w:rsidR="003A1261">
        <w:rPr>
          <w:rFonts w:cstheme="minorHAnsi"/>
        </w:rPr>
        <w:t xml:space="preserve"> </w:t>
      </w:r>
      <w:r w:rsidR="0065365A">
        <w:rPr>
          <w:rFonts w:cstheme="minorHAnsi"/>
        </w:rPr>
        <w:t>I</w:t>
      </w:r>
      <w:r w:rsidR="003A1261">
        <w:rPr>
          <w:rFonts w:cstheme="minorHAnsi"/>
        </w:rPr>
        <w:t>t is</w:t>
      </w:r>
      <w:r w:rsidR="0065365A">
        <w:rPr>
          <w:rFonts w:cstheme="minorHAnsi"/>
        </w:rPr>
        <w:t xml:space="preserve"> also </w:t>
      </w:r>
      <w:r w:rsidR="003A1261">
        <w:rPr>
          <w:rFonts w:cstheme="minorHAnsi"/>
        </w:rPr>
        <w:t xml:space="preserve">widely admitted that export concentration can lead to income volatility, macroeconomic uncertainty and low level of investments </w:t>
      </w:r>
      <w:r w:rsidR="003A1261">
        <w:rPr>
          <w:rFonts w:eastAsia="Calibri"/>
        </w:rPr>
        <w:t>(</w:t>
      </w:r>
      <w:proofErr w:type="spellStart"/>
      <w:r w:rsidR="003A1261">
        <w:rPr>
          <w:rFonts w:eastAsia="Calibri"/>
        </w:rPr>
        <w:t>Ghosh</w:t>
      </w:r>
      <w:proofErr w:type="spellEnd"/>
      <w:r w:rsidR="003A1261">
        <w:rPr>
          <w:rFonts w:eastAsia="Calibri"/>
        </w:rPr>
        <w:t xml:space="preserve"> and </w:t>
      </w:r>
      <w:proofErr w:type="spellStart"/>
      <w:r w:rsidR="003A1261">
        <w:rPr>
          <w:rFonts w:eastAsia="Calibri"/>
        </w:rPr>
        <w:t>Ostry</w:t>
      </w:r>
      <w:proofErr w:type="spellEnd"/>
      <w:r w:rsidR="003A1261">
        <w:rPr>
          <w:rFonts w:eastAsia="Calibri"/>
        </w:rPr>
        <w:t>, 1994</w:t>
      </w:r>
      <w:r w:rsidR="003A1261" w:rsidRPr="00654B07">
        <w:rPr>
          <w:rFonts w:eastAsia="Calibri"/>
        </w:rPr>
        <w:t>)</w:t>
      </w:r>
      <w:r w:rsidR="003A1261">
        <w:rPr>
          <w:rFonts w:cstheme="minorHAnsi"/>
        </w:rPr>
        <w:t>, limited knowledge and technology spillovers (</w:t>
      </w:r>
      <w:proofErr w:type="spellStart"/>
      <w:r w:rsidR="003A1261">
        <w:t>Hausmann</w:t>
      </w:r>
      <w:proofErr w:type="spellEnd"/>
      <w:r w:rsidR="003A1261">
        <w:t xml:space="preserve"> and </w:t>
      </w:r>
      <w:proofErr w:type="spellStart"/>
      <w:r w:rsidR="003A1261">
        <w:t>Rodrik</w:t>
      </w:r>
      <w:proofErr w:type="spellEnd"/>
      <w:r w:rsidR="003A1261">
        <w:t>, 2003)</w:t>
      </w:r>
      <w:r w:rsidR="003A1261">
        <w:rPr>
          <w:rFonts w:cstheme="minorHAnsi"/>
        </w:rPr>
        <w:t>,</w:t>
      </w:r>
      <w:r w:rsidR="003A1261">
        <w:rPr>
          <w:rStyle w:val="Appelnotedebasdep"/>
        </w:rPr>
        <w:footnoteReference w:id="6"/>
      </w:r>
      <w:r w:rsidR="003A1261">
        <w:rPr>
          <w:rFonts w:cstheme="minorHAnsi"/>
        </w:rPr>
        <w:t xml:space="preserve"> rent-seeking behavior </w:t>
      </w:r>
      <w:r w:rsidR="003A1261" w:rsidRPr="005E3F5A">
        <w:rPr>
          <w:szCs w:val="22"/>
        </w:rPr>
        <w:t>(</w:t>
      </w:r>
      <w:r w:rsidR="003A1261" w:rsidRPr="00E2404E">
        <w:rPr>
          <w:rFonts w:ascii="Times-Roman" w:hAnsi="Times-Roman" w:cs="Times-Roman"/>
          <w:szCs w:val="22"/>
        </w:rPr>
        <w:t xml:space="preserve">Lane and </w:t>
      </w:r>
      <w:proofErr w:type="spellStart"/>
      <w:r w:rsidR="003A1261" w:rsidRPr="00E2404E">
        <w:rPr>
          <w:rFonts w:ascii="Times-Roman" w:hAnsi="Times-Roman" w:cs="Times-Roman"/>
          <w:szCs w:val="22"/>
        </w:rPr>
        <w:t>Tornell</w:t>
      </w:r>
      <w:proofErr w:type="spellEnd"/>
      <w:r w:rsidR="003A1261" w:rsidRPr="00E2404E">
        <w:rPr>
          <w:rFonts w:ascii="Times-Roman" w:hAnsi="Times-Roman" w:cs="Times-Roman"/>
          <w:szCs w:val="22"/>
        </w:rPr>
        <w:t>,</w:t>
      </w:r>
      <w:r w:rsidR="003A1261">
        <w:rPr>
          <w:rFonts w:ascii="Times-Roman" w:hAnsi="Times-Roman" w:cs="Times-Roman"/>
          <w:szCs w:val="22"/>
        </w:rPr>
        <w:t xml:space="preserve"> </w:t>
      </w:r>
      <w:r w:rsidR="003A1261" w:rsidRPr="00E2404E">
        <w:rPr>
          <w:rFonts w:ascii="Times-Roman" w:hAnsi="Times-Roman" w:cs="Times-Roman"/>
          <w:szCs w:val="22"/>
        </w:rPr>
        <w:t>1996)</w:t>
      </w:r>
      <w:r w:rsidR="003A1261" w:rsidRPr="00E2404E">
        <w:rPr>
          <w:rFonts w:ascii="Times-Roman" w:hAnsi="Times-Roman" w:cs="Times-Roman"/>
          <w:sz w:val="24"/>
          <w:szCs w:val="24"/>
        </w:rPr>
        <w:t xml:space="preserve"> </w:t>
      </w:r>
      <w:r w:rsidR="003A1261">
        <w:rPr>
          <w:rFonts w:cstheme="minorHAnsi"/>
        </w:rPr>
        <w:t xml:space="preserve">and political tensions </w:t>
      </w:r>
      <w:r w:rsidR="003A1261">
        <w:t xml:space="preserve">(Collier and </w:t>
      </w:r>
      <w:proofErr w:type="spellStart"/>
      <w:r w:rsidR="003A1261">
        <w:t>Hoeffler</w:t>
      </w:r>
      <w:proofErr w:type="spellEnd"/>
      <w:r w:rsidR="003A1261">
        <w:t xml:space="preserve">, 2004). In </w:t>
      </w:r>
      <w:r w:rsidR="003A1261">
        <w:rPr>
          <w:rFonts w:cstheme="minorHAnsi"/>
        </w:rPr>
        <w:t xml:space="preserve">recent empirical studies, export </w:t>
      </w:r>
      <w:r w:rsidR="00834F22">
        <w:rPr>
          <w:rFonts w:cstheme="minorHAnsi"/>
        </w:rPr>
        <w:t>diversification is also associated with high</w:t>
      </w:r>
      <w:r w:rsidR="003A1261">
        <w:rPr>
          <w:rFonts w:cstheme="minorHAnsi"/>
        </w:rPr>
        <w:t xml:space="preserve"> levels of development (</w:t>
      </w:r>
      <w:r w:rsidR="003A1261" w:rsidRPr="00212C92">
        <w:rPr>
          <w:rFonts w:cstheme="minorHAnsi"/>
        </w:rPr>
        <w:t>Lederman and Malo</w:t>
      </w:r>
      <w:r w:rsidR="003A1261">
        <w:rPr>
          <w:rFonts w:cstheme="minorHAnsi"/>
        </w:rPr>
        <w:t xml:space="preserve">ney, 2003; </w:t>
      </w:r>
      <w:proofErr w:type="spellStart"/>
      <w:r w:rsidR="003A1261" w:rsidRPr="00212C92">
        <w:rPr>
          <w:rFonts w:cstheme="minorHAnsi"/>
        </w:rPr>
        <w:t>Cadot</w:t>
      </w:r>
      <w:proofErr w:type="spellEnd"/>
      <w:r w:rsidR="003A1261" w:rsidRPr="00212C92">
        <w:rPr>
          <w:rFonts w:cstheme="minorHAnsi"/>
        </w:rPr>
        <w:t xml:space="preserve"> </w:t>
      </w:r>
      <w:r w:rsidR="003A1261">
        <w:rPr>
          <w:rFonts w:cstheme="minorHAnsi"/>
          <w:i/>
        </w:rPr>
        <w:t xml:space="preserve">et al., </w:t>
      </w:r>
      <w:r w:rsidR="003A1261">
        <w:rPr>
          <w:rFonts w:cstheme="minorHAnsi"/>
        </w:rPr>
        <w:t>2010).</w:t>
      </w:r>
      <w:r w:rsidR="00D7735B">
        <w:t xml:space="preserve"> </w:t>
      </w:r>
      <w:r w:rsidR="002876AE">
        <w:rPr>
          <w:rFonts w:cstheme="minorHAnsi"/>
        </w:rPr>
        <w:t>At the same time, as</w:t>
      </w:r>
      <w:r w:rsidR="00D7735B">
        <w:rPr>
          <w:rFonts w:cstheme="minorHAnsi"/>
        </w:rPr>
        <w:t xml:space="preserve"> </w:t>
      </w:r>
      <w:r w:rsidR="002876AE">
        <w:rPr>
          <w:rFonts w:cstheme="minorHAnsi"/>
        </w:rPr>
        <w:t xml:space="preserve">the world becomes </w:t>
      </w:r>
      <w:r w:rsidR="00D7735B">
        <w:rPr>
          <w:rFonts w:cstheme="minorHAnsi"/>
        </w:rPr>
        <w:t>in</w:t>
      </w:r>
      <w:r w:rsidR="002876AE">
        <w:rPr>
          <w:rFonts w:cstheme="minorHAnsi"/>
        </w:rPr>
        <w:t xml:space="preserve">creasingly interdependent, </w:t>
      </w:r>
      <w:r w:rsidR="002C1EB2">
        <w:rPr>
          <w:rFonts w:cstheme="minorHAnsi"/>
        </w:rPr>
        <w:t xml:space="preserve">the </w:t>
      </w:r>
      <w:r w:rsidR="002876AE">
        <w:rPr>
          <w:rFonts w:cstheme="minorHAnsi"/>
        </w:rPr>
        <w:t xml:space="preserve">importance </w:t>
      </w:r>
      <w:r w:rsidR="002C1EB2">
        <w:rPr>
          <w:rFonts w:cstheme="minorHAnsi"/>
        </w:rPr>
        <w:t xml:space="preserve">of diversification </w:t>
      </w:r>
      <w:r w:rsidR="00D7735B">
        <w:rPr>
          <w:rFonts w:cstheme="minorHAnsi"/>
        </w:rPr>
        <w:t>a</w:t>
      </w:r>
      <w:r w:rsidR="002C1EB2">
        <w:rPr>
          <w:rFonts w:cstheme="minorHAnsi"/>
        </w:rPr>
        <w:t>s</w:t>
      </w:r>
      <w:r w:rsidR="00D7735B">
        <w:rPr>
          <w:rFonts w:cstheme="minorHAnsi"/>
        </w:rPr>
        <w:t xml:space="preserve"> </w:t>
      </w:r>
      <w:r w:rsidR="00D7735B" w:rsidRPr="00212C92">
        <w:rPr>
          <w:rFonts w:eastAsia="Calibri" w:cstheme="minorHAnsi"/>
        </w:rPr>
        <w:t>risk man</w:t>
      </w:r>
      <w:r w:rsidR="00D7735B">
        <w:rPr>
          <w:rFonts w:eastAsia="Calibri" w:cstheme="minorHAnsi"/>
        </w:rPr>
        <w:t xml:space="preserve">agement strategy </w:t>
      </w:r>
      <w:r w:rsidR="002876AE">
        <w:rPr>
          <w:rFonts w:eastAsia="Calibri" w:cstheme="minorHAnsi"/>
        </w:rPr>
        <w:t xml:space="preserve">is </w:t>
      </w:r>
      <w:r w:rsidR="008549BB">
        <w:rPr>
          <w:rFonts w:eastAsia="Calibri" w:cstheme="minorHAnsi"/>
        </w:rPr>
        <w:t xml:space="preserve">also </w:t>
      </w:r>
      <w:r w:rsidR="002876AE">
        <w:rPr>
          <w:rFonts w:eastAsia="Calibri" w:cstheme="minorHAnsi"/>
        </w:rPr>
        <w:t xml:space="preserve">enhanced </w:t>
      </w:r>
      <w:r w:rsidR="00D7735B">
        <w:rPr>
          <w:rFonts w:eastAsia="Calibri" w:cstheme="minorHAnsi"/>
        </w:rPr>
        <w:t>(</w:t>
      </w:r>
      <w:r w:rsidR="00D7735B">
        <w:rPr>
          <w:rFonts w:cstheme="minorHAnsi"/>
        </w:rPr>
        <w:t>Haddad et al.,</w:t>
      </w:r>
      <w:r w:rsidR="00D7735B" w:rsidRPr="00212C92">
        <w:rPr>
          <w:rFonts w:cstheme="minorHAnsi"/>
        </w:rPr>
        <w:t xml:space="preserve"> </w:t>
      </w:r>
      <w:r w:rsidR="00D7735B">
        <w:rPr>
          <w:rFonts w:cstheme="minorHAnsi"/>
        </w:rPr>
        <w:t>2010</w:t>
      </w:r>
      <w:r w:rsidR="00D7735B">
        <w:t>)</w:t>
      </w:r>
      <w:r w:rsidR="00CC0F79">
        <w:rPr>
          <w:rFonts w:cstheme="minorHAnsi"/>
        </w:rPr>
        <w:t>.</w:t>
      </w:r>
      <w:r w:rsidR="00CC0F79">
        <w:rPr>
          <w:rStyle w:val="Appelnotedebasdep"/>
          <w:rFonts w:cstheme="minorHAnsi"/>
        </w:rPr>
        <w:footnoteReference w:id="7"/>
      </w:r>
      <w:r w:rsidR="000A46B9">
        <w:t xml:space="preserve"> </w:t>
      </w:r>
    </w:p>
    <w:p w:rsidR="00EC43F6" w:rsidRPr="00EE721E" w:rsidRDefault="008727F9" w:rsidP="00EE721E">
      <w:pPr>
        <w:rPr>
          <w:rFonts w:cstheme="minorHAnsi"/>
        </w:rPr>
      </w:pPr>
      <w:r>
        <w:t xml:space="preserve">Despite the </w:t>
      </w:r>
      <w:r w:rsidR="00EC43F6">
        <w:t xml:space="preserve">benefits </w:t>
      </w:r>
      <w:r>
        <w:t xml:space="preserve">of diversification, how to achieve </w:t>
      </w:r>
      <w:proofErr w:type="gramStart"/>
      <w:r>
        <w:t>it,</w:t>
      </w:r>
      <w:proofErr w:type="gramEnd"/>
      <w:r>
        <w:t xml:space="preserve"> remains unclear, but exporters undoubtedly are the engine of such process. </w:t>
      </w:r>
      <w:r w:rsidR="00B320E2">
        <w:t>B</w:t>
      </w:r>
      <w:r w:rsidR="000F5DDF">
        <w:rPr>
          <w:rFonts w:cstheme="minorHAnsi"/>
        </w:rPr>
        <w:t>ehind the process of</w:t>
      </w:r>
      <w:r w:rsidR="00B942ED">
        <w:rPr>
          <w:rFonts w:cstheme="minorHAnsi"/>
        </w:rPr>
        <w:t xml:space="preserve"> </w:t>
      </w:r>
      <w:r w:rsidR="00A70FB6">
        <w:rPr>
          <w:rFonts w:cstheme="minorHAnsi"/>
        </w:rPr>
        <w:t>p</w:t>
      </w:r>
      <w:r w:rsidR="00637B1C" w:rsidRPr="00637B1C">
        <w:rPr>
          <w:rFonts w:cstheme="minorHAnsi"/>
        </w:rPr>
        <w:t xml:space="preserve">roduct </w:t>
      </w:r>
      <w:r w:rsidR="00A70FB6">
        <w:rPr>
          <w:rFonts w:cstheme="minorHAnsi"/>
        </w:rPr>
        <w:t xml:space="preserve">or (and) </w:t>
      </w:r>
      <w:r w:rsidR="00637B1C" w:rsidRPr="00637B1C">
        <w:rPr>
          <w:rFonts w:cstheme="minorHAnsi"/>
        </w:rPr>
        <w:t>market diversification</w:t>
      </w:r>
      <w:r w:rsidR="00B942ED">
        <w:rPr>
          <w:rFonts w:cstheme="minorHAnsi"/>
        </w:rPr>
        <w:t>, th</w:t>
      </w:r>
      <w:r w:rsidR="000F5DDF">
        <w:rPr>
          <w:rFonts w:cstheme="minorHAnsi"/>
        </w:rPr>
        <w:t>ere is</w:t>
      </w:r>
      <w:r w:rsidR="00B942ED">
        <w:rPr>
          <w:rFonts w:cstheme="minorHAnsi"/>
        </w:rPr>
        <w:t xml:space="preserve"> </w:t>
      </w:r>
      <w:r w:rsidR="00A70FB6">
        <w:rPr>
          <w:rFonts w:cstheme="minorHAnsi"/>
        </w:rPr>
        <w:t>a new or incumbent</w:t>
      </w:r>
      <w:r w:rsidR="00637B1C" w:rsidRPr="00637B1C">
        <w:rPr>
          <w:rFonts w:cstheme="minorHAnsi"/>
        </w:rPr>
        <w:t xml:space="preserve"> exporter </w:t>
      </w:r>
      <w:r w:rsidR="000F5DDF">
        <w:rPr>
          <w:rFonts w:cstheme="minorHAnsi"/>
        </w:rPr>
        <w:t>that has introduced a product, or broken into</w:t>
      </w:r>
      <w:r w:rsidR="00637B1C" w:rsidRPr="00637B1C">
        <w:rPr>
          <w:rFonts w:cstheme="minorHAnsi"/>
        </w:rPr>
        <w:t xml:space="preserve"> a new market (or b</w:t>
      </w:r>
      <w:r w:rsidR="000F5DDF">
        <w:rPr>
          <w:rFonts w:cstheme="minorHAnsi"/>
        </w:rPr>
        <w:t>oth)</w:t>
      </w:r>
      <w:r w:rsidR="00637B1C" w:rsidRPr="00637B1C">
        <w:rPr>
          <w:rFonts w:cstheme="minorHAnsi"/>
        </w:rPr>
        <w:t>.</w:t>
      </w:r>
      <w:r w:rsidR="00C220B7">
        <w:rPr>
          <w:rFonts w:cstheme="minorHAnsi"/>
        </w:rPr>
        <w:t xml:space="preserve"> T</w:t>
      </w:r>
      <w:r w:rsidR="002C5785">
        <w:rPr>
          <w:rFonts w:cstheme="minorHAnsi"/>
        </w:rPr>
        <w:t xml:space="preserve">he consolidation of </w:t>
      </w:r>
      <w:r w:rsidR="009527C7">
        <w:rPr>
          <w:rFonts w:cstheme="minorHAnsi"/>
        </w:rPr>
        <w:t xml:space="preserve">a product-market line </w:t>
      </w:r>
      <w:r w:rsidR="00FE577D">
        <w:rPr>
          <w:rFonts w:cstheme="minorHAnsi"/>
        </w:rPr>
        <w:t xml:space="preserve">also </w:t>
      </w:r>
      <w:r w:rsidR="00781186">
        <w:rPr>
          <w:rFonts w:cstheme="minorHAnsi"/>
        </w:rPr>
        <w:t>implies</w:t>
      </w:r>
      <w:r w:rsidR="009527C7">
        <w:rPr>
          <w:rFonts w:cstheme="minorHAnsi"/>
        </w:rPr>
        <w:t xml:space="preserve"> that </w:t>
      </w:r>
      <w:r w:rsidR="00A70FB6">
        <w:rPr>
          <w:rFonts w:cstheme="minorHAnsi"/>
        </w:rPr>
        <w:t>a new or</w:t>
      </w:r>
      <w:r w:rsidR="00781186">
        <w:rPr>
          <w:rFonts w:cstheme="minorHAnsi"/>
        </w:rPr>
        <w:t xml:space="preserve"> incumbent exporter began</w:t>
      </w:r>
      <w:r w:rsidR="009527C7">
        <w:rPr>
          <w:rFonts w:cstheme="minorHAnsi"/>
        </w:rPr>
        <w:t xml:space="preserve"> </w:t>
      </w:r>
      <w:r w:rsidR="00781186">
        <w:rPr>
          <w:rFonts w:cstheme="minorHAnsi"/>
        </w:rPr>
        <w:t>to sell a product-market line,</w:t>
      </w:r>
      <w:r w:rsidR="00637B1C" w:rsidRPr="00637B1C">
        <w:rPr>
          <w:rFonts w:cstheme="minorHAnsi"/>
        </w:rPr>
        <w:t xml:space="preserve"> already exported by othe</w:t>
      </w:r>
      <w:r w:rsidR="00781186">
        <w:rPr>
          <w:rFonts w:cstheme="minorHAnsi"/>
        </w:rPr>
        <w:t>rs;</w:t>
      </w:r>
      <w:r w:rsidR="009527C7">
        <w:rPr>
          <w:rFonts w:cstheme="minorHAnsi"/>
        </w:rPr>
        <w:t xml:space="preserve"> or that an incumbent expanded</w:t>
      </w:r>
      <w:r w:rsidR="00637B1C" w:rsidRPr="00637B1C">
        <w:rPr>
          <w:rFonts w:cstheme="minorHAnsi"/>
        </w:rPr>
        <w:t xml:space="preserve"> the sales of a</w:t>
      </w:r>
      <w:r w:rsidR="00781186">
        <w:rPr>
          <w:rFonts w:cstheme="minorHAnsi"/>
        </w:rPr>
        <w:t xml:space="preserve"> </w:t>
      </w:r>
      <w:r w:rsidR="00637B1C" w:rsidRPr="00637B1C">
        <w:rPr>
          <w:rFonts w:cstheme="minorHAnsi"/>
        </w:rPr>
        <w:t xml:space="preserve">product-market </w:t>
      </w:r>
      <w:r w:rsidR="009527C7">
        <w:rPr>
          <w:rFonts w:cstheme="minorHAnsi"/>
        </w:rPr>
        <w:t>line</w:t>
      </w:r>
      <w:r w:rsidR="00E63351">
        <w:rPr>
          <w:rFonts w:cstheme="minorHAnsi"/>
        </w:rPr>
        <w:t xml:space="preserve"> he</w:t>
      </w:r>
      <w:r w:rsidR="00781186">
        <w:rPr>
          <w:rFonts w:cstheme="minorHAnsi"/>
        </w:rPr>
        <w:t xml:space="preserve"> was already exporting</w:t>
      </w:r>
      <w:r w:rsidR="00A70FB6">
        <w:rPr>
          <w:rFonts w:cstheme="minorHAnsi"/>
        </w:rPr>
        <w:t xml:space="preserve">. </w:t>
      </w:r>
      <w:r w:rsidR="0048367A">
        <w:rPr>
          <w:rFonts w:cstheme="minorHAnsi"/>
        </w:rPr>
        <w:t xml:space="preserve">By incorporating firms’ heterogeneity into trade models, recent </w:t>
      </w:r>
      <w:r w:rsidR="0048367A">
        <w:rPr>
          <w:rFonts w:cstheme="minorHAnsi"/>
        </w:rPr>
        <w:lastRenderedPageBreak/>
        <w:t>trade theory provides valuable insights on exporters’ behavior</w:t>
      </w:r>
      <w:r w:rsidR="00D7751C">
        <w:rPr>
          <w:rFonts w:cstheme="minorHAnsi"/>
        </w:rPr>
        <w:t>.</w:t>
      </w:r>
      <w:r w:rsidR="0048367A">
        <w:rPr>
          <w:lang w:val="en-GB"/>
        </w:rPr>
        <w:t xml:space="preserve"> </w:t>
      </w:r>
      <w:r w:rsidR="00D7751C">
        <w:rPr>
          <w:lang w:val="en-GB"/>
        </w:rPr>
        <w:t xml:space="preserve">These models </w:t>
      </w:r>
      <w:r w:rsidR="0048367A">
        <w:rPr>
          <w:lang w:val="en-GB"/>
        </w:rPr>
        <w:t xml:space="preserve">study </w:t>
      </w:r>
      <w:r w:rsidR="005C25E7">
        <w:rPr>
          <w:rFonts w:cstheme="minorHAnsi"/>
          <w:lang w:val="en-GB"/>
        </w:rPr>
        <w:t xml:space="preserve">firms’ </w:t>
      </w:r>
      <w:r w:rsidR="00D52312" w:rsidRPr="00D52312">
        <w:rPr>
          <w:rFonts w:cstheme="minorHAnsi"/>
        </w:rPr>
        <w:t>decision</w:t>
      </w:r>
      <w:r w:rsidR="00B52B25">
        <w:rPr>
          <w:rFonts w:cstheme="minorHAnsi"/>
        </w:rPr>
        <w:t xml:space="preserve"> to export, </w:t>
      </w:r>
      <w:r w:rsidR="00AD47B7">
        <w:rPr>
          <w:rFonts w:cstheme="minorHAnsi"/>
        </w:rPr>
        <w:t xml:space="preserve">introduce </w:t>
      </w:r>
      <w:r w:rsidR="00B52B25">
        <w:rPr>
          <w:rFonts w:cstheme="minorHAnsi"/>
        </w:rPr>
        <w:t>a product</w:t>
      </w:r>
      <w:r w:rsidR="0048367A">
        <w:rPr>
          <w:rFonts w:cstheme="minorHAnsi"/>
        </w:rPr>
        <w:t xml:space="preserve"> or serve an additional market</w:t>
      </w:r>
      <w:r w:rsidR="00D7751C">
        <w:rPr>
          <w:rFonts w:cstheme="minorHAnsi"/>
        </w:rPr>
        <w:t>;</w:t>
      </w:r>
      <w:r w:rsidR="0048367A">
        <w:rPr>
          <w:rFonts w:eastAsia="Calibri" w:cs="Times New Roman"/>
          <w:szCs w:val="22"/>
          <w:lang w:val="en-GB"/>
        </w:rPr>
        <w:t xml:space="preserve"> and </w:t>
      </w:r>
      <w:r w:rsidR="00AD776C">
        <w:rPr>
          <w:rFonts w:eastAsia="Calibri" w:cs="Times New Roman"/>
          <w:szCs w:val="22"/>
          <w:lang w:val="en-GB"/>
        </w:rPr>
        <w:t xml:space="preserve">highlight </w:t>
      </w:r>
      <w:r w:rsidR="009B38A1">
        <w:rPr>
          <w:rFonts w:eastAsia="Calibri" w:cs="Times New Roman"/>
          <w:szCs w:val="22"/>
          <w:lang w:val="en-GB"/>
        </w:rPr>
        <w:t xml:space="preserve">the relationship between </w:t>
      </w:r>
      <w:r w:rsidR="00B52B25">
        <w:rPr>
          <w:rFonts w:eastAsia="Calibri" w:cs="Times New Roman"/>
          <w:szCs w:val="22"/>
          <w:lang w:val="en-GB"/>
        </w:rPr>
        <w:t>firms' productivity</w:t>
      </w:r>
      <w:r w:rsidR="008009F0">
        <w:rPr>
          <w:rFonts w:eastAsia="Calibri" w:cs="Times New Roman"/>
          <w:szCs w:val="22"/>
          <w:lang w:val="en-GB"/>
        </w:rPr>
        <w:t xml:space="preserve"> and the n</w:t>
      </w:r>
      <w:r w:rsidR="00D7751C">
        <w:rPr>
          <w:rFonts w:eastAsia="Calibri" w:cs="Times New Roman"/>
          <w:szCs w:val="22"/>
          <w:lang w:val="en-GB"/>
        </w:rPr>
        <w:t xml:space="preserve">umber of exporters, </w:t>
      </w:r>
      <w:r w:rsidR="00AD47B7">
        <w:rPr>
          <w:rFonts w:eastAsia="Calibri" w:cs="Times New Roman"/>
          <w:szCs w:val="22"/>
          <w:lang w:val="en-GB"/>
        </w:rPr>
        <w:t>exported</w:t>
      </w:r>
      <w:r w:rsidR="00AD776C">
        <w:rPr>
          <w:rFonts w:eastAsia="Calibri" w:cs="Times New Roman"/>
          <w:szCs w:val="22"/>
          <w:lang w:val="en-GB"/>
        </w:rPr>
        <w:t xml:space="preserve"> products</w:t>
      </w:r>
      <w:r w:rsidR="00B52B25">
        <w:rPr>
          <w:rFonts w:eastAsia="Calibri" w:cs="Times New Roman"/>
          <w:szCs w:val="22"/>
          <w:lang w:val="en-GB"/>
        </w:rPr>
        <w:t xml:space="preserve">, and </w:t>
      </w:r>
      <w:r w:rsidR="008009F0">
        <w:rPr>
          <w:rFonts w:eastAsia="Calibri" w:cs="Times New Roman"/>
          <w:szCs w:val="22"/>
          <w:lang w:val="en-GB"/>
        </w:rPr>
        <w:t>markets</w:t>
      </w:r>
      <w:r w:rsidR="009B38A1">
        <w:rPr>
          <w:rFonts w:eastAsia="Calibri" w:cs="Times New Roman"/>
          <w:szCs w:val="22"/>
          <w:lang w:val="en-GB"/>
        </w:rPr>
        <w:t>.</w:t>
      </w:r>
      <w:r w:rsidR="00EC43F6">
        <w:rPr>
          <w:rFonts w:eastAsia="Calibri" w:cs="Times New Roman"/>
          <w:szCs w:val="22"/>
          <w:lang w:val="en-GB"/>
        </w:rPr>
        <w:t xml:space="preserve"> In </w:t>
      </w:r>
      <w:proofErr w:type="spellStart"/>
      <w:r w:rsidR="00EC43F6">
        <w:rPr>
          <w:rFonts w:eastAsia="Calibri" w:cs="Times New Roman"/>
          <w:szCs w:val="22"/>
          <w:lang w:val="en-GB"/>
        </w:rPr>
        <w:t>Melitz</w:t>
      </w:r>
      <w:proofErr w:type="spellEnd"/>
      <w:r w:rsidR="00EC43F6">
        <w:rPr>
          <w:rFonts w:eastAsia="Calibri" w:cs="Times New Roman"/>
          <w:szCs w:val="22"/>
          <w:lang w:val="en-GB"/>
        </w:rPr>
        <w:t xml:space="preserve"> (2003)’s </w:t>
      </w:r>
      <w:r w:rsidR="00EC43F6" w:rsidRPr="00044418">
        <w:rPr>
          <w:rFonts w:eastAsia="Calibri" w:cs="Times New Roman"/>
          <w:szCs w:val="22"/>
          <w:lang w:val="en-GB"/>
        </w:rPr>
        <w:t xml:space="preserve">baseline model </w:t>
      </w:r>
      <w:r w:rsidR="00EC43F6">
        <w:rPr>
          <w:rFonts w:eastAsia="Calibri" w:cs="Times New Roman"/>
          <w:szCs w:val="22"/>
          <w:lang w:val="en-GB"/>
        </w:rPr>
        <w:t xml:space="preserve">with </w:t>
      </w:r>
      <w:r w:rsidR="00EC43F6" w:rsidRPr="00044418">
        <w:rPr>
          <w:rFonts w:eastAsia="Calibri" w:cs="Times New Roman"/>
          <w:szCs w:val="22"/>
          <w:lang w:val="en-GB"/>
        </w:rPr>
        <w:t xml:space="preserve">symmetric countries, </w:t>
      </w:r>
      <w:r w:rsidR="00EC43F6">
        <w:rPr>
          <w:rFonts w:eastAsia="Calibri" w:cs="Times New Roman"/>
          <w:szCs w:val="22"/>
          <w:lang w:val="en-GB"/>
        </w:rPr>
        <w:t xml:space="preserve">fixed market entry costs and a fixed export costs, a decline in trade costs (i.e. fixed or variable) lead to the entry into the export market of </w:t>
      </w:r>
      <w:r w:rsidR="00EC43F6" w:rsidRPr="00044418">
        <w:rPr>
          <w:rFonts w:eastAsia="Calibri" w:cs="Times New Roman"/>
          <w:szCs w:val="22"/>
          <w:lang w:val="en-GB"/>
        </w:rPr>
        <w:t>fir</w:t>
      </w:r>
      <w:r w:rsidR="00EC43F6">
        <w:rPr>
          <w:rFonts w:eastAsia="Calibri" w:cs="Times New Roman"/>
          <w:szCs w:val="22"/>
          <w:lang w:val="en-GB"/>
        </w:rPr>
        <w:t xml:space="preserve">ms, which before could not afford to be exporters. The model implies that only the most productive firms will export but has no predictions as to the introduction of additional products or markets. </w:t>
      </w:r>
      <w:r w:rsidR="00EC43F6" w:rsidRPr="006019A0">
        <w:rPr>
          <w:rFonts w:eastAsia="Calibri" w:cs="Times New Roman"/>
          <w:szCs w:val="22"/>
          <w:lang w:val="en-GB"/>
        </w:rPr>
        <w:t>Bernard, R</w:t>
      </w:r>
      <w:r w:rsidR="0031556F">
        <w:rPr>
          <w:rFonts w:eastAsia="Calibri" w:cs="Times New Roman"/>
          <w:szCs w:val="22"/>
          <w:lang w:val="en-GB"/>
        </w:rPr>
        <w:t>edding and Schott (2010</w:t>
      </w:r>
      <w:r w:rsidR="00EC43F6">
        <w:rPr>
          <w:rFonts w:eastAsia="Calibri" w:cs="Times New Roman"/>
          <w:szCs w:val="22"/>
          <w:lang w:val="en-GB"/>
        </w:rPr>
        <w:t xml:space="preserve">) refine </w:t>
      </w:r>
      <w:proofErr w:type="spellStart"/>
      <w:r w:rsidR="00EC43F6">
        <w:rPr>
          <w:rFonts w:eastAsia="Calibri" w:cs="Times New Roman"/>
          <w:szCs w:val="22"/>
          <w:lang w:val="en-GB"/>
        </w:rPr>
        <w:t>Melitz's</w:t>
      </w:r>
      <w:proofErr w:type="spellEnd"/>
      <w:r w:rsidR="00EC43F6">
        <w:rPr>
          <w:rFonts w:eastAsia="Calibri" w:cs="Times New Roman"/>
          <w:szCs w:val="22"/>
          <w:lang w:val="en-GB"/>
        </w:rPr>
        <w:t xml:space="preserve"> framework</w:t>
      </w:r>
      <w:r w:rsidR="00EC43F6" w:rsidRPr="006019A0">
        <w:rPr>
          <w:rFonts w:eastAsia="Calibri" w:cs="Times New Roman"/>
          <w:szCs w:val="22"/>
          <w:lang w:val="en-GB"/>
        </w:rPr>
        <w:t xml:space="preserve"> to account for multi-produ</w:t>
      </w:r>
      <w:r w:rsidR="00EC43F6">
        <w:rPr>
          <w:rFonts w:eastAsia="Calibri" w:cs="Times New Roman"/>
          <w:szCs w:val="22"/>
          <w:lang w:val="en-GB"/>
        </w:rPr>
        <w:t xml:space="preserve">ct and multi-market firms. Their model looks at the decision of </w:t>
      </w:r>
      <w:r w:rsidR="00EC43F6" w:rsidRPr="00FB5C1C">
        <w:rPr>
          <w:rFonts w:eastAsia="Calibri" w:cs="Times New Roman"/>
          <w:szCs w:val="22"/>
          <w:lang w:val="en-GB"/>
        </w:rPr>
        <w:t>whether to enter</w:t>
      </w:r>
      <w:r w:rsidR="00EC43F6">
        <w:rPr>
          <w:rFonts w:eastAsia="Calibri" w:cs="Times New Roman"/>
          <w:szCs w:val="22"/>
          <w:lang w:val="en-GB"/>
        </w:rPr>
        <w:t xml:space="preserve"> the export market</w:t>
      </w:r>
      <w:r w:rsidR="00EC43F6" w:rsidRPr="00FB5C1C">
        <w:rPr>
          <w:rFonts w:eastAsia="Calibri" w:cs="Times New Roman"/>
          <w:szCs w:val="22"/>
          <w:lang w:val="en-GB"/>
        </w:rPr>
        <w:t>, what products to pr</w:t>
      </w:r>
      <w:r w:rsidR="00EC43F6">
        <w:rPr>
          <w:rFonts w:eastAsia="Calibri" w:cs="Times New Roman"/>
          <w:szCs w:val="22"/>
          <w:lang w:val="en-GB"/>
        </w:rPr>
        <w:t xml:space="preserve">oduce, and which markets to serve. They introduce market-specific and product-specific fixed costs, interacting them not only with firm productivity but with product attributes. In their model, a reduction </w:t>
      </w:r>
      <w:r w:rsidR="00EC43F6" w:rsidRPr="006019A0">
        <w:rPr>
          <w:rFonts w:eastAsia="Calibri" w:cs="Times New Roman"/>
          <w:szCs w:val="22"/>
          <w:lang w:val="en-GB"/>
        </w:rPr>
        <w:t xml:space="preserve">in variable trade costs induces surviving exporters to start selling </w:t>
      </w:r>
      <w:r w:rsidR="00EC43F6">
        <w:rPr>
          <w:rFonts w:eastAsia="Calibri" w:cs="Times New Roman"/>
          <w:szCs w:val="22"/>
          <w:lang w:val="en-GB"/>
        </w:rPr>
        <w:t xml:space="preserve">abroad </w:t>
      </w:r>
      <w:r w:rsidR="00EC43F6" w:rsidRPr="006019A0">
        <w:rPr>
          <w:rFonts w:eastAsia="Calibri" w:cs="Times New Roman"/>
          <w:szCs w:val="22"/>
          <w:lang w:val="en-GB"/>
        </w:rPr>
        <w:t>products</w:t>
      </w:r>
      <w:r w:rsidR="00EC43F6">
        <w:rPr>
          <w:rFonts w:eastAsia="Calibri" w:cs="Times New Roman"/>
          <w:szCs w:val="22"/>
          <w:lang w:val="en-GB"/>
        </w:rPr>
        <w:t xml:space="preserve">, </w:t>
      </w:r>
      <w:r w:rsidR="00EC43F6">
        <w:rPr>
          <w:rFonts w:ascii="TimesNewRomanPSMT" w:hAnsi="TimesNewRomanPSMT" w:cs="TimesNewRomanPSMT"/>
          <w:bCs w:val="0"/>
          <w:szCs w:val="22"/>
          <w:lang w:val="en-GB"/>
        </w:rPr>
        <w:t xml:space="preserve">thus increasing the number of goods exported by each firm, as well as the number of </w:t>
      </w:r>
      <w:r w:rsidR="00EC43F6" w:rsidRPr="00F11D18">
        <w:rPr>
          <w:rFonts w:ascii="TimesNewRomanPSMT" w:hAnsi="TimesNewRomanPSMT" w:cs="TimesNewRomanPSMT"/>
          <w:bCs w:val="0"/>
          <w:szCs w:val="22"/>
          <w:lang w:val="en-GB"/>
        </w:rPr>
        <w:t xml:space="preserve">markets. </w:t>
      </w:r>
      <w:r w:rsidR="00EC43F6" w:rsidRPr="00F11D18">
        <w:rPr>
          <w:rFonts w:eastAsia="Calibri" w:cs="Times New Roman"/>
          <w:szCs w:val="22"/>
          <w:lang w:val="en-GB"/>
        </w:rPr>
        <w:t xml:space="preserve"> </w:t>
      </w:r>
      <w:r w:rsidR="00EC43F6">
        <w:rPr>
          <w:rFonts w:eastAsia="Calibri" w:cs="Times New Roman"/>
          <w:szCs w:val="22"/>
          <w:lang w:val="en-GB"/>
        </w:rPr>
        <w:t>Other studies have focused on firm's market expansion and the factors that may affect</w:t>
      </w:r>
      <w:r w:rsidR="00EC43F6" w:rsidRPr="00DE74BD">
        <w:rPr>
          <w:rFonts w:eastAsia="Calibri" w:cs="Times New Roman"/>
          <w:szCs w:val="22"/>
          <w:lang w:val="en-GB"/>
        </w:rPr>
        <w:t xml:space="preserve"> </w:t>
      </w:r>
      <w:r w:rsidR="00EC43F6">
        <w:rPr>
          <w:rFonts w:eastAsia="Calibri" w:cs="Times New Roman"/>
          <w:szCs w:val="22"/>
          <w:lang w:val="en-GB"/>
        </w:rPr>
        <w:t xml:space="preserve">exporters’ decision of whether </w:t>
      </w:r>
      <w:r w:rsidR="00B44D27">
        <w:rPr>
          <w:rFonts w:eastAsia="Calibri" w:cs="Times New Roman"/>
          <w:szCs w:val="22"/>
          <w:lang w:val="en-GB"/>
        </w:rPr>
        <w:t>to break into new</w:t>
      </w:r>
      <w:r w:rsidR="00EC43F6">
        <w:rPr>
          <w:rFonts w:eastAsia="Calibri" w:cs="Times New Roman"/>
          <w:szCs w:val="22"/>
          <w:lang w:val="en-GB"/>
        </w:rPr>
        <w:t xml:space="preserve"> market</w:t>
      </w:r>
      <w:r w:rsidR="00B44D27">
        <w:rPr>
          <w:rFonts w:eastAsia="Calibri" w:cs="Times New Roman"/>
          <w:szCs w:val="22"/>
          <w:lang w:val="en-GB"/>
        </w:rPr>
        <w:t>s</w:t>
      </w:r>
      <w:r w:rsidR="00EC43F6" w:rsidRPr="00ED2C0F">
        <w:rPr>
          <w:rFonts w:eastAsia="Calibri" w:cs="Times New Roman"/>
          <w:szCs w:val="22"/>
          <w:lang w:val="en-GB"/>
        </w:rPr>
        <w:t>.</w:t>
      </w:r>
      <w:r w:rsidR="00EC43F6">
        <w:rPr>
          <w:rFonts w:eastAsia="Calibri" w:cs="Times New Roman"/>
          <w:szCs w:val="22"/>
          <w:lang w:val="en-GB"/>
        </w:rPr>
        <w:t xml:space="preserve"> I</w:t>
      </w:r>
      <w:r w:rsidR="00EC43F6" w:rsidRPr="00ED2C0F">
        <w:rPr>
          <w:rFonts w:eastAsia="Calibri" w:cs="Times New Roman"/>
          <w:szCs w:val="22"/>
          <w:lang w:val="en-GB"/>
        </w:rPr>
        <w:t xml:space="preserve">n </w:t>
      </w:r>
      <w:proofErr w:type="spellStart"/>
      <w:r w:rsidR="00EC43F6" w:rsidRPr="00ED2C0F">
        <w:rPr>
          <w:rFonts w:eastAsia="Calibri" w:cs="Times New Roman"/>
          <w:szCs w:val="22"/>
          <w:lang w:val="en-GB"/>
        </w:rPr>
        <w:t>Melitz</w:t>
      </w:r>
      <w:proofErr w:type="spellEnd"/>
      <w:r w:rsidR="00EC43F6">
        <w:rPr>
          <w:rFonts w:eastAsia="Calibri" w:cs="Times New Roman"/>
          <w:szCs w:val="22"/>
          <w:lang w:val="en-GB"/>
        </w:rPr>
        <w:t xml:space="preserve"> and </w:t>
      </w:r>
      <w:proofErr w:type="spellStart"/>
      <w:r w:rsidR="00EC43F6">
        <w:rPr>
          <w:rFonts w:eastAsia="Calibri" w:cs="Times New Roman"/>
          <w:szCs w:val="22"/>
          <w:lang w:val="en-GB"/>
        </w:rPr>
        <w:t>Ottaviano</w:t>
      </w:r>
      <w:proofErr w:type="spellEnd"/>
      <w:r w:rsidR="00EC43F6">
        <w:rPr>
          <w:rFonts w:eastAsia="Calibri" w:cs="Times New Roman"/>
          <w:szCs w:val="22"/>
          <w:lang w:val="en-GB"/>
        </w:rPr>
        <w:t xml:space="preserve"> (2008</w:t>
      </w:r>
      <w:r w:rsidR="00EC43F6" w:rsidRPr="00ED2C0F">
        <w:rPr>
          <w:rFonts w:eastAsia="Calibri" w:cs="Times New Roman"/>
          <w:szCs w:val="22"/>
          <w:lang w:val="en-GB"/>
        </w:rPr>
        <w:t xml:space="preserve">), </w:t>
      </w:r>
      <w:r w:rsidR="00EC43F6">
        <w:rPr>
          <w:rFonts w:eastAsia="Calibri" w:cs="Times New Roman"/>
          <w:szCs w:val="22"/>
        </w:rPr>
        <w:t xml:space="preserve">larger markets are more difficult to break in as they exhibit a higher level of competition and feature </w:t>
      </w:r>
      <w:r w:rsidR="00EC43F6" w:rsidRPr="00ED2C0F">
        <w:rPr>
          <w:rFonts w:eastAsia="Calibri" w:cs="Times New Roman"/>
          <w:szCs w:val="22"/>
        </w:rPr>
        <w:t>lowe</w:t>
      </w:r>
      <w:r w:rsidR="00EC43F6">
        <w:rPr>
          <w:rFonts w:eastAsia="Calibri" w:cs="Times New Roman"/>
          <w:szCs w:val="22"/>
        </w:rPr>
        <w:t xml:space="preserve">r mark-ups and higher aggregate productivity. </w:t>
      </w:r>
      <w:r w:rsidR="00EC43F6" w:rsidRPr="00ED2C0F">
        <w:rPr>
          <w:rFonts w:eastAsia="Calibri" w:cs="Times New Roman"/>
          <w:szCs w:val="22"/>
          <w:lang w:val="en-GB"/>
        </w:rPr>
        <w:t>Lawless (2009)</w:t>
      </w:r>
      <w:r w:rsidR="00EC43F6">
        <w:rPr>
          <w:rFonts w:eastAsia="Calibri" w:cs="Times New Roman"/>
          <w:szCs w:val="22"/>
          <w:lang w:val="en-GB"/>
        </w:rPr>
        <w:t xml:space="preserve"> extends </w:t>
      </w:r>
      <w:proofErr w:type="spellStart"/>
      <w:r w:rsidR="00EC43F6">
        <w:rPr>
          <w:rFonts w:eastAsia="Calibri" w:cs="Times New Roman"/>
          <w:szCs w:val="22"/>
          <w:lang w:val="en-GB"/>
        </w:rPr>
        <w:t>Melitz</w:t>
      </w:r>
      <w:proofErr w:type="spellEnd"/>
      <w:r w:rsidR="00EC43F6">
        <w:rPr>
          <w:rFonts w:eastAsia="Calibri" w:cs="Times New Roman"/>
          <w:szCs w:val="22"/>
          <w:lang w:val="en-GB"/>
        </w:rPr>
        <w:t>’ model by adding a market-specific fixed and variable costs, which generates a market-specific entry threshold. As a consequence, firms</w:t>
      </w:r>
      <w:r w:rsidR="00EC43F6" w:rsidRPr="00ED2C0F">
        <w:rPr>
          <w:rFonts w:eastAsia="Calibri" w:cs="Times New Roman"/>
          <w:szCs w:val="22"/>
          <w:lang w:val="en-GB"/>
        </w:rPr>
        <w:t xml:space="preserve"> </w:t>
      </w:r>
      <w:r w:rsidR="00EC43F6">
        <w:rPr>
          <w:rFonts w:eastAsia="Calibri" w:cs="Times New Roman"/>
          <w:szCs w:val="22"/>
          <w:lang w:val="en-GB"/>
        </w:rPr>
        <w:t xml:space="preserve">export only to </w:t>
      </w:r>
      <w:r w:rsidR="00EC43F6" w:rsidRPr="00ED2C0F">
        <w:rPr>
          <w:rFonts w:eastAsia="Calibri" w:cs="Times New Roman"/>
          <w:szCs w:val="22"/>
          <w:lang w:val="en-GB"/>
        </w:rPr>
        <w:t xml:space="preserve">those </w:t>
      </w:r>
      <w:r w:rsidR="00EC43F6">
        <w:rPr>
          <w:rFonts w:eastAsia="Calibri" w:cs="Times New Roman"/>
          <w:szCs w:val="22"/>
          <w:lang w:val="en-GB"/>
        </w:rPr>
        <w:t xml:space="preserve">markets </w:t>
      </w:r>
      <w:r w:rsidR="00EC43F6" w:rsidRPr="00ED2C0F">
        <w:rPr>
          <w:rFonts w:eastAsia="Calibri" w:cs="Times New Roman"/>
          <w:szCs w:val="22"/>
          <w:lang w:val="en-GB"/>
        </w:rPr>
        <w:t xml:space="preserve">that are </w:t>
      </w:r>
      <w:r w:rsidR="00EC43F6">
        <w:rPr>
          <w:rFonts w:eastAsia="Calibri" w:cs="Times New Roman"/>
          <w:szCs w:val="22"/>
          <w:lang w:val="en-GB"/>
        </w:rPr>
        <w:t>profitable giving their own productivity</w:t>
      </w:r>
      <w:r w:rsidR="00EC43F6" w:rsidRPr="00ED2C0F">
        <w:rPr>
          <w:rFonts w:eastAsia="Calibri" w:cs="Times New Roman"/>
          <w:szCs w:val="22"/>
          <w:lang w:val="en-GB"/>
        </w:rPr>
        <w:t>.</w:t>
      </w:r>
      <w:r w:rsidR="00EC43F6">
        <w:rPr>
          <w:rFonts w:eastAsia="Calibri" w:cs="Times New Roman"/>
          <w:szCs w:val="22"/>
        </w:rPr>
        <w:t xml:space="preserve"> This body of literature reveals that the introduction a product or/and a market depends positively on firms' </w:t>
      </w:r>
      <w:r w:rsidR="00EC43F6" w:rsidRPr="00D7751C">
        <w:rPr>
          <w:rFonts w:eastAsia="Calibri" w:cs="Times New Roman"/>
          <w:szCs w:val="22"/>
        </w:rPr>
        <w:t xml:space="preserve">productivity and </w:t>
      </w:r>
      <w:r w:rsidR="00EC43F6">
        <w:rPr>
          <w:rFonts w:eastAsia="Calibri" w:cs="Times New Roman"/>
          <w:szCs w:val="22"/>
        </w:rPr>
        <w:t xml:space="preserve">negatively on </w:t>
      </w:r>
      <w:r w:rsidR="00EC43F6" w:rsidRPr="00D7751C">
        <w:rPr>
          <w:rFonts w:eastAsia="Calibri" w:cs="Times New Roman"/>
          <w:szCs w:val="22"/>
        </w:rPr>
        <w:t xml:space="preserve">fixed/variable </w:t>
      </w:r>
      <w:r w:rsidR="00EC43F6">
        <w:rPr>
          <w:rFonts w:eastAsia="Calibri" w:cs="Times New Roman"/>
          <w:szCs w:val="22"/>
        </w:rPr>
        <w:t>trade costs</w:t>
      </w:r>
      <w:r w:rsidR="004067CF">
        <w:rPr>
          <w:rFonts w:eastAsia="Calibri" w:cs="Times New Roman"/>
          <w:szCs w:val="22"/>
        </w:rPr>
        <w:t xml:space="preserve"> associated with the export activity, a given product and market</w:t>
      </w:r>
      <w:r w:rsidR="00EC43F6" w:rsidRPr="00D7751C">
        <w:rPr>
          <w:rFonts w:eastAsia="Calibri" w:cs="Times New Roman"/>
          <w:szCs w:val="22"/>
        </w:rPr>
        <w:t>.</w:t>
      </w:r>
      <w:r w:rsidR="009B38A1">
        <w:rPr>
          <w:rFonts w:eastAsia="Calibri" w:cs="Times New Roman"/>
          <w:szCs w:val="22"/>
          <w:lang w:val="en-GB"/>
        </w:rPr>
        <w:t xml:space="preserve"> </w:t>
      </w:r>
    </w:p>
    <w:p w:rsidR="00162489" w:rsidRPr="0024349D" w:rsidRDefault="00A92212" w:rsidP="00A70FB6">
      <w:pPr>
        <w:keepNext w:val="0"/>
        <w:rPr>
          <w:lang w:val="en-GB"/>
        </w:rPr>
      </w:pPr>
      <w:r>
        <w:rPr>
          <w:rFonts w:eastAsia="Calibri" w:cs="Times New Roman"/>
          <w:szCs w:val="22"/>
        </w:rPr>
        <w:t>Based on the</w:t>
      </w:r>
      <w:r w:rsidR="00DC3150">
        <w:rPr>
          <w:rFonts w:eastAsia="Calibri" w:cs="Times New Roman"/>
          <w:szCs w:val="22"/>
        </w:rPr>
        <w:t xml:space="preserve">se </w:t>
      </w:r>
      <w:r>
        <w:rPr>
          <w:rFonts w:eastAsia="Calibri" w:cs="Times New Roman"/>
          <w:szCs w:val="22"/>
        </w:rPr>
        <w:t xml:space="preserve">findings, </w:t>
      </w:r>
      <w:r w:rsidR="00274AF4">
        <w:rPr>
          <w:rFonts w:eastAsia="Calibri" w:cs="Times New Roman"/>
          <w:szCs w:val="22"/>
        </w:rPr>
        <w:t xml:space="preserve">recent </w:t>
      </w:r>
      <w:r>
        <w:rPr>
          <w:rFonts w:eastAsia="Calibri" w:cs="Times New Roman"/>
          <w:szCs w:val="22"/>
        </w:rPr>
        <w:t xml:space="preserve">studies have analyzed </w:t>
      </w:r>
      <w:r w:rsidR="008439E1">
        <w:rPr>
          <w:rFonts w:eastAsia="Calibri" w:cs="Times New Roman"/>
          <w:szCs w:val="22"/>
        </w:rPr>
        <w:t xml:space="preserve">the effect of certain factors on </w:t>
      </w:r>
      <w:r w:rsidR="00274AF4">
        <w:rPr>
          <w:rFonts w:eastAsia="Calibri" w:cs="Times New Roman"/>
          <w:szCs w:val="22"/>
        </w:rPr>
        <w:t>the in</w:t>
      </w:r>
      <w:r w:rsidR="00F60B4F">
        <w:rPr>
          <w:rFonts w:eastAsia="Calibri" w:cs="Times New Roman"/>
          <w:szCs w:val="22"/>
        </w:rPr>
        <w:t>troduction of new products. They</w:t>
      </w:r>
      <w:r w:rsidR="00274AF4">
        <w:rPr>
          <w:rFonts w:eastAsia="Calibri" w:cs="Times New Roman"/>
          <w:szCs w:val="22"/>
        </w:rPr>
        <w:t xml:space="preserve"> found that the </w:t>
      </w:r>
      <w:r w:rsidR="00274AF4" w:rsidRPr="00D7751C">
        <w:rPr>
          <w:rFonts w:eastAsia="Calibri" w:cs="Times New Roman"/>
          <w:szCs w:val="22"/>
        </w:rPr>
        <w:t>number of product</w:t>
      </w:r>
      <w:r w:rsidR="00274AF4">
        <w:rPr>
          <w:rFonts w:eastAsia="Calibri" w:cs="Times New Roman"/>
          <w:szCs w:val="22"/>
        </w:rPr>
        <w:t>s</w:t>
      </w:r>
      <w:r w:rsidR="00274AF4" w:rsidRPr="00D7751C">
        <w:rPr>
          <w:rFonts w:eastAsia="Calibri" w:cs="Times New Roman"/>
          <w:szCs w:val="22"/>
        </w:rPr>
        <w:t xml:space="preserve"> is </w:t>
      </w:r>
      <w:r w:rsidR="00274AF4">
        <w:rPr>
          <w:rFonts w:eastAsia="Calibri" w:cs="Times New Roman"/>
          <w:szCs w:val="22"/>
        </w:rPr>
        <w:t xml:space="preserve">positively </w:t>
      </w:r>
      <w:r w:rsidR="00274AF4" w:rsidRPr="00D7751C">
        <w:rPr>
          <w:rFonts w:eastAsia="Calibri" w:cs="Times New Roman"/>
          <w:szCs w:val="22"/>
        </w:rPr>
        <w:t xml:space="preserve">affected by </w:t>
      </w:r>
      <w:r w:rsidR="00274AF4">
        <w:rPr>
          <w:rFonts w:eastAsia="Calibri" w:cs="Times New Roman"/>
          <w:szCs w:val="22"/>
        </w:rPr>
        <w:t xml:space="preserve">firms’ </w:t>
      </w:r>
      <w:r w:rsidR="00274AF4" w:rsidRPr="00D7751C">
        <w:rPr>
          <w:rFonts w:eastAsia="Calibri" w:cs="Times New Roman"/>
          <w:szCs w:val="22"/>
        </w:rPr>
        <w:t>experience (Alvarez et al.</w:t>
      </w:r>
      <w:r w:rsidR="00274AF4">
        <w:rPr>
          <w:rFonts w:eastAsia="Calibri" w:cs="Times New Roman"/>
          <w:szCs w:val="22"/>
        </w:rPr>
        <w:t xml:space="preserve"> 2007</w:t>
      </w:r>
      <w:r w:rsidR="00274AF4" w:rsidRPr="00D7751C">
        <w:rPr>
          <w:rFonts w:eastAsia="Calibri" w:cs="Times New Roman"/>
          <w:szCs w:val="22"/>
        </w:rPr>
        <w:t>), network effects (</w:t>
      </w:r>
      <w:proofErr w:type="spellStart"/>
      <w:r w:rsidR="00274AF4" w:rsidRPr="00D7751C">
        <w:rPr>
          <w:rFonts w:eastAsia="Calibri" w:cs="Times New Roman"/>
          <w:szCs w:val="22"/>
        </w:rPr>
        <w:t>Cadot</w:t>
      </w:r>
      <w:proofErr w:type="spellEnd"/>
      <w:r w:rsidR="00274AF4" w:rsidRPr="00D7751C">
        <w:rPr>
          <w:rFonts w:eastAsia="Calibri" w:cs="Times New Roman"/>
          <w:szCs w:val="22"/>
        </w:rPr>
        <w:t xml:space="preserve"> et al. 2010),</w:t>
      </w:r>
      <w:r w:rsidR="00274AF4" w:rsidRPr="00A92212">
        <w:rPr>
          <w:rFonts w:eastAsia="Calibri" w:cs="Times New Roman"/>
          <w:szCs w:val="22"/>
        </w:rPr>
        <w:t xml:space="preserve"> </w:t>
      </w:r>
      <w:r w:rsidR="00274AF4" w:rsidRPr="00D7751C">
        <w:rPr>
          <w:rFonts w:eastAsia="Calibri" w:cs="Times New Roman"/>
          <w:szCs w:val="22"/>
        </w:rPr>
        <w:t xml:space="preserve">export promotion programs (Volpe and </w:t>
      </w:r>
      <w:proofErr w:type="spellStart"/>
      <w:r w:rsidR="00274AF4" w:rsidRPr="00D7751C">
        <w:rPr>
          <w:rFonts w:eastAsia="Calibri" w:cs="Times New Roman"/>
          <w:szCs w:val="22"/>
        </w:rPr>
        <w:t>Carballo</w:t>
      </w:r>
      <w:proofErr w:type="spellEnd"/>
      <w:r w:rsidR="00274AF4" w:rsidRPr="00D7751C">
        <w:rPr>
          <w:rFonts w:eastAsia="Calibri" w:cs="Times New Roman"/>
          <w:szCs w:val="22"/>
        </w:rPr>
        <w:t xml:space="preserve">, 2010) </w:t>
      </w:r>
      <w:r w:rsidR="00274AF4">
        <w:rPr>
          <w:rFonts w:eastAsia="Calibri" w:cs="Times New Roman"/>
          <w:szCs w:val="22"/>
        </w:rPr>
        <w:t xml:space="preserve">and to a certain extent by tariff reductions </w:t>
      </w:r>
      <w:r w:rsidR="00274AF4" w:rsidRPr="00D7751C">
        <w:rPr>
          <w:rFonts w:eastAsia="Calibri" w:cs="Times New Roman"/>
          <w:szCs w:val="22"/>
        </w:rPr>
        <w:t>(Molina, et al. 2010).</w:t>
      </w:r>
      <w:r w:rsidR="00274AF4">
        <w:rPr>
          <w:rFonts w:eastAsia="Calibri" w:cs="Times New Roman"/>
          <w:szCs w:val="22"/>
        </w:rPr>
        <w:t xml:space="preserve">   </w:t>
      </w:r>
      <w:r w:rsidR="00327696">
        <w:rPr>
          <w:rFonts w:eastAsia="Calibri" w:cs="Times New Roman"/>
          <w:szCs w:val="22"/>
        </w:rPr>
        <w:t xml:space="preserve">As for the determinants of </w:t>
      </w:r>
      <w:r w:rsidR="00274AF4">
        <w:rPr>
          <w:rFonts w:eastAsia="Calibri" w:cs="Times New Roman"/>
          <w:szCs w:val="22"/>
        </w:rPr>
        <w:t xml:space="preserve">market diversification, </w:t>
      </w:r>
      <w:r w:rsidR="00327696">
        <w:rPr>
          <w:rFonts w:eastAsia="Calibri" w:cs="Times New Roman"/>
          <w:szCs w:val="22"/>
        </w:rPr>
        <w:t xml:space="preserve">the evidence remains scant.  Studies in this area have </w:t>
      </w:r>
      <w:r w:rsidR="00F60B4F">
        <w:rPr>
          <w:rFonts w:eastAsia="Calibri" w:cs="Times New Roman"/>
          <w:szCs w:val="22"/>
        </w:rPr>
        <w:t xml:space="preserve">mainly </w:t>
      </w:r>
      <w:r w:rsidR="00187825">
        <w:rPr>
          <w:rFonts w:eastAsia="Calibri" w:cs="Times New Roman"/>
          <w:szCs w:val="22"/>
        </w:rPr>
        <w:t>focus</w:t>
      </w:r>
      <w:r w:rsidR="00F60B4F">
        <w:rPr>
          <w:rFonts w:eastAsia="Calibri" w:cs="Times New Roman"/>
          <w:szCs w:val="22"/>
        </w:rPr>
        <w:t>ed</w:t>
      </w:r>
      <w:r w:rsidR="00187825">
        <w:rPr>
          <w:rFonts w:eastAsia="Calibri" w:cs="Times New Roman"/>
          <w:szCs w:val="22"/>
        </w:rPr>
        <w:t xml:space="preserve"> on </w:t>
      </w:r>
      <w:r w:rsidR="00327696">
        <w:rPr>
          <w:rFonts w:eastAsia="Calibri" w:cs="Times New Roman"/>
          <w:szCs w:val="22"/>
        </w:rPr>
        <w:t xml:space="preserve">the process of market expansion </w:t>
      </w:r>
      <w:r w:rsidR="00274AF4">
        <w:rPr>
          <w:rFonts w:eastAsia="Calibri" w:cs="Times New Roman"/>
          <w:szCs w:val="22"/>
        </w:rPr>
        <w:t xml:space="preserve">and found </w:t>
      </w:r>
      <w:r w:rsidR="00FC32D8" w:rsidRPr="00D7751C">
        <w:rPr>
          <w:rFonts w:eastAsia="Calibri" w:cs="Times New Roman"/>
          <w:szCs w:val="22"/>
        </w:rPr>
        <w:t>that conditional on survival, exporters add markets in a gradual</w:t>
      </w:r>
      <w:r w:rsidR="00FC32D8">
        <w:rPr>
          <w:rFonts w:eastAsia="Calibri" w:cs="Times New Roman"/>
          <w:szCs w:val="22"/>
        </w:rPr>
        <w:t xml:space="preserve"> manner</w:t>
      </w:r>
      <w:r w:rsidR="00327696">
        <w:rPr>
          <w:rFonts w:eastAsia="Calibri" w:cs="Times New Roman"/>
          <w:szCs w:val="22"/>
        </w:rPr>
        <w:t xml:space="preserve"> (</w:t>
      </w:r>
      <w:proofErr w:type="spellStart"/>
      <w:r w:rsidR="00327696" w:rsidRPr="00D7751C">
        <w:rPr>
          <w:rFonts w:ascii="TimesNewRomanPSMT" w:hAnsi="TimesNewRomanPSMT" w:cs="TimesNewRomanPSMT"/>
          <w:bCs w:val="0"/>
          <w:szCs w:val="22"/>
          <w:lang w:val="en-GB"/>
        </w:rPr>
        <w:t>Alborn</w:t>
      </w:r>
      <w:r w:rsidR="00327696">
        <w:rPr>
          <w:rFonts w:ascii="TimesNewRomanPSMT" w:hAnsi="TimesNewRomanPSMT" w:cs="TimesNewRomanPSMT"/>
          <w:bCs w:val="0"/>
          <w:szCs w:val="22"/>
          <w:lang w:val="en-GB"/>
        </w:rPr>
        <w:t>oz</w:t>
      </w:r>
      <w:proofErr w:type="spellEnd"/>
      <w:r w:rsidR="00327696">
        <w:rPr>
          <w:rFonts w:ascii="TimesNewRomanPSMT" w:hAnsi="TimesNewRomanPSMT" w:cs="TimesNewRomanPSMT"/>
          <w:bCs w:val="0"/>
          <w:szCs w:val="22"/>
          <w:lang w:val="en-GB"/>
        </w:rPr>
        <w:t xml:space="preserve"> et al., </w:t>
      </w:r>
      <w:r w:rsidR="00327696" w:rsidRPr="00D7751C">
        <w:rPr>
          <w:rFonts w:ascii="TimesNewRomanPSMT" w:hAnsi="TimesNewRomanPSMT" w:cs="TimesNewRomanPSMT"/>
          <w:bCs w:val="0"/>
          <w:szCs w:val="22"/>
          <w:lang w:val="en-GB"/>
        </w:rPr>
        <w:t>2009</w:t>
      </w:r>
      <w:r w:rsidR="00187825">
        <w:rPr>
          <w:rFonts w:ascii="TimesNewRomanPSMT" w:hAnsi="TimesNewRomanPSMT" w:cs="TimesNewRomanPSMT"/>
          <w:bCs w:val="0"/>
          <w:szCs w:val="22"/>
          <w:lang w:val="en-GB"/>
        </w:rPr>
        <w:t xml:space="preserve">; Lawless 2009 and </w:t>
      </w:r>
      <w:r w:rsidR="00327696">
        <w:rPr>
          <w:rFonts w:ascii="TimesNewRomanPSMT" w:hAnsi="TimesNewRomanPSMT" w:cs="TimesNewRomanPSMT"/>
          <w:bCs w:val="0"/>
          <w:szCs w:val="22"/>
          <w:lang w:val="en-GB"/>
        </w:rPr>
        <w:t xml:space="preserve">Eaton et al., </w:t>
      </w:r>
      <w:r w:rsidR="00327696" w:rsidRPr="00D7751C">
        <w:rPr>
          <w:rFonts w:ascii="TimesNewRomanPSMT" w:hAnsi="TimesNewRomanPSMT" w:cs="TimesNewRomanPSMT"/>
          <w:bCs w:val="0"/>
          <w:szCs w:val="22"/>
          <w:lang w:val="en-GB"/>
        </w:rPr>
        <w:t>2007</w:t>
      </w:r>
      <w:r w:rsidR="00327696">
        <w:rPr>
          <w:rFonts w:ascii="TimesNewRomanPSMT" w:hAnsi="TimesNewRomanPSMT" w:cs="TimesNewRomanPSMT"/>
          <w:bCs w:val="0"/>
          <w:szCs w:val="22"/>
          <w:lang w:val="en-GB"/>
        </w:rPr>
        <w:t>)</w:t>
      </w:r>
      <w:r w:rsidR="00FC32D8">
        <w:rPr>
          <w:rFonts w:eastAsia="Calibri" w:cs="Times New Roman"/>
          <w:szCs w:val="22"/>
        </w:rPr>
        <w:t>.</w:t>
      </w:r>
      <w:r w:rsidR="00FC32D8" w:rsidRPr="00D7751C">
        <w:rPr>
          <w:rFonts w:eastAsia="Calibri" w:cs="Times New Roman"/>
          <w:szCs w:val="22"/>
        </w:rPr>
        <w:t xml:space="preserve"> </w:t>
      </w:r>
      <w:r w:rsidR="00494712" w:rsidRPr="001D043D">
        <w:rPr>
          <w:rFonts w:eastAsia="Calibri" w:cs="Times New Roman"/>
          <w:szCs w:val="22"/>
        </w:rPr>
        <w:t xml:space="preserve">This paper </w:t>
      </w:r>
      <w:r w:rsidR="00494712" w:rsidRPr="001D043D">
        <w:rPr>
          <w:color w:val="000000"/>
          <w:szCs w:val="22"/>
        </w:rPr>
        <w:t xml:space="preserve">contributes </w:t>
      </w:r>
      <w:r w:rsidR="004D065A" w:rsidRPr="001D043D">
        <w:rPr>
          <w:color w:val="000000"/>
          <w:szCs w:val="22"/>
        </w:rPr>
        <w:t xml:space="preserve">to </w:t>
      </w:r>
      <w:r w:rsidR="00494712" w:rsidRPr="001D043D">
        <w:rPr>
          <w:color w:val="000000"/>
          <w:szCs w:val="22"/>
        </w:rPr>
        <w:t xml:space="preserve">this </w:t>
      </w:r>
      <w:r w:rsidR="0024349D" w:rsidRPr="001D043D">
        <w:rPr>
          <w:color w:val="000000"/>
          <w:szCs w:val="22"/>
        </w:rPr>
        <w:t xml:space="preserve">growing </w:t>
      </w:r>
      <w:r w:rsidR="00494712" w:rsidRPr="001D043D">
        <w:rPr>
          <w:color w:val="000000"/>
          <w:szCs w:val="22"/>
        </w:rPr>
        <w:t xml:space="preserve">literature </w:t>
      </w:r>
      <w:r w:rsidR="00187825">
        <w:rPr>
          <w:color w:val="000000"/>
          <w:szCs w:val="22"/>
        </w:rPr>
        <w:t>by analyzing the determinants of both prod</w:t>
      </w:r>
      <w:r w:rsidR="00DA70BF">
        <w:rPr>
          <w:color w:val="000000"/>
          <w:szCs w:val="22"/>
        </w:rPr>
        <w:t>uct and market diversification</w:t>
      </w:r>
      <w:r w:rsidR="00D44BFD">
        <w:rPr>
          <w:color w:val="000000"/>
          <w:szCs w:val="22"/>
        </w:rPr>
        <w:t xml:space="preserve">; and </w:t>
      </w:r>
      <w:r w:rsidR="00B44D27">
        <w:rPr>
          <w:color w:val="000000"/>
          <w:szCs w:val="22"/>
        </w:rPr>
        <w:t xml:space="preserve">trying to </w:t>
      </w:r>
      <w:r w:rsidR="00640653" w:rsidRPr="001D043D">
        <w:rPr>
          <w:color w:val="000000"/>
          <w:szCs w:val="22"/>
        </w:rPr>
        <w:t xml:space="preserve">shed some light on </w:t>
      </w:r>
      <w:r w:rsidR="00640653" w:rsidRPr="001D043D">
        <w:rPr>
          <w:rFonts w:eastAsia="Calibri" w:cs="Times New Roman"/>
          <w:szCs w:val="22"/>
        </w:rPr>
        <w:t xml:space="preserve">the relationship between firm-level and aggregate </w:t>
      </w:r>
      <w:r w:rsidR="00B756A0" w:rsidRPr="001D043D">
        <w:rPr>
          <w:rFonts w:eastAsia="Calibri" w:cs="Times New Roman"/>
          <w:szCs w:val="22"/>
        </w:rPr>
        <w:t xml:space="preserve">diversification </w:t>
      </w:r>
      <w:r w:rsidR="00B44D27">
        <w:rPr>
          <w:rFonts w:eastAsia="Calibri" w:cs="Times New Roman"/>
          <w:szCs w:val="22"/>
        </w:rPr>
        <w:t xml:space="preserve">patterns, </w:t>
      </w:r>
      <w:r w:rsidR="00345BDB" w:rsidRPr="001D043D">
        <w:rPr>
          <w:rFonts w:eastAsia="Calibri" w:cs="Times New Roman"/>
          <w:szCs w:val="22"/>
        </w:rPr>
        <w:t>so far</w:t>
      </w:r>
      <w:r w:rsidR="00640653" w:rsidRPr="001D043D">
        <w:rPr>
          <w:rFonts w:eastAsia="Calibri" w:cs="Times New Roman"/>
          <w:szCs w:val="22"/>
        </w:rPr>
        <w:t xml:space="preserve"> overlooked.</w:t>
      </w:r>
      <w:r w:rsidR="00294FDE" w:rsidRPr="00294FDE">
        <w:rPr>
          <w:rFonts w:cstheme="minorHAnsi"/>
        </w:rPr>
        <w:t xml:space="preserve"> </w:t>
      </w:r>
    </w:p>
    <w:p w:rsidR="007723F2" w:rsidRDefault="00D44BFD" w:rsidP="007723F2">
      <w:r w:rsidRPr="0057736A">
        <w:rPr>
          <w:lang w:val="en-GB"/>
        </w:rPr>
        <w:t>Using Mali’s firm- and product-level data, we</w:t>
      </w:r>
      <w:r w:rsidRPr="0057736A">
        <w:t xml:space="preserve"> analyze Mali’s diversification </w:t>
      </w:r>
      <w:r w:rsidR="0014724A" w:rsidRPr="0057736A">
        <w:t xml:space="preserve">patterns and </w:t>
      </w:r>
      <w:r w:rsidR="002424CF">
        <w:t xml:space="preserve">the </w:t>
      </w:r>
      <w:r w:rsidR="0014724A" w:rsidRPr="0057736A">
        <w:t>underlying firm-level dynamics</w:t>
      </w:r>
      <w:r w:rsidR="007723F2">
        <w:t xml:space="preserve">. </w:t>
      </w:r>
      <w:r w:rsidR="006B7D04">
        <w:rPr>
          <w:rFonts w:eastAsia="Calibri" w:cs="Times New Roman"/>
        </w:rPr>
        <w:t xml:space="preserve"> We find </w:t>
      </w:r>
      <w:r w:rsidR="007723F2">
        <w:rPr>
          <w:rFonts w:eastAsia="Calibri" w:cs="Times New Roman"/>
        </w:rPr>
        <w:t xml:space="preserve">that </w:t>
      </w:r>
      <w:r w:rsidR="007723F2" w:rsidRPr="0057736A">
        <w:t xml:space="preserve">the majority of exports in each year are generated by a narrow group of exporters whose export portfolio is highly diversified; </w:t>
      </w:r>
      <w:r w:rsidR="007723F2">
        <w:t xml:space="preserve">and that the </w:t>
      </w:r>
      <w:r w:rsidR="007723F2" w:rsidRPr="0057736A">
        <w:t>failure rate</w:t>
      </w:r>
      <w:r w:rsidR="007723F2">
        <w:t xml:space="preserve"> among Malian exporters is significant.  O</w:t>
      </w:r>
      <w:r w:rsidR="007723F2" w:rsidRPr="0057736A">
        <w:t>ne in two exporters exits the market after one year</w:t>
      </w:r>
      <w:r w:rsidR="007723F2">
        <w:t>.</w:t>
      </w:r>
      <w:r w:rsidR="006B7D04">
        <w:t xml:space="preserve"> The data further </w:t>
      </w:r>
      <w:r w:rsidR="007723F2" w:rsidRPr="00405624">
        <w:t>shows that there is a lot of churning (i.e. exits and</w:t>
      </w:r>
      <w:r w:rsidR="007723F2">
        <w:t xml:space="preserve"> entries) at the exporter, product and market </w:t>
      </w:r>
      <w:r w:rsidR="007723F2" w:rsidRPr="0057736A">
        <w:t>(i.e. exporter-product, exporter-market, exporter-product-market level)</w:t>
      </w:r>
      <w:r w:rsidR="007723F2" w:rsidRPr="00405624">
        <w:t>, which could explain the patterns observed at the aggregate level (i.e. net effects), and in particular the lack of improvements in terms of diversification.</w:t>
      </w:r>
      <w:r w:rsidR="007723F2">
        <w:t xml:space="preserve"> Indeed, Mali’s export structure is highly concentrated in terms of both products and markets, and this situation has not changed during the last ten years.  </w:t>
      </w:r>
    </w:p>
    <w:p w:rsidR="007723F2" w:rsidRDefault="006B7D04" w:rsidP="00391FEF">
      <w:r>
        <w:rPr>
          <w:rFonts w:eastAsia="Calibri" w:cs="Times New Roman"/>
        </w:rPr>
        <w:t xml:space="preserve">In order to get a more complete understanding of the diversification process, we </w:t>
      </w:r>
      <w:r w:rsidR="00D44BFD" w:rsidRPr="0057736A">
        <w:t xml:space="preserve">decompose </w:t>
      </w:r>
      <w:r w:rsidR="00D95AD1">
        <w:t xml:space="preserve">Mali’s </w:t>
      </w:r>
      <w:r w:rsidR="00D44BFD" w:rsidRPr="0057736A">
        <w:t xml:space="preserve">trade into an intensive and extensive margin for the period 1996-2008. The intensive margin refers to exports of an existing product to an existing market (i.e. expansion of existing trade relationships) while the extensive margin refers to new exports (i.e. expansion due to new trade relationships) </w:t>
      </w:r>
      <w:r w:rsidR="00D44BFD" w:rsidRPr="0057736A">
        <w:lastRenderedPageBreak/>
        <w:t>resulting from the introduction of a new product</w:t>
      </w:r>
      <w:r w:rsidR="00D44BFD" w:rsidRPr="0057736A">
        <w:rPr>
          <w:rStyle w:val="Appelnotedebasdep"/>
          <w:rFonts w:cs="Times New Roman"/>
        </w:rPr>
        <w:footnoteReference w:id="8"/>
      </w:r>
      <w:r w:rsidR="00D44BFD" w:rsidRPr="0057736A">
        <w:t>, new markets, or both. Such decomposition has the advantage of reflecting the possible forms of diversification and therefore allows us to assess their importance in Malian’s trade.</w:t>
      </w:r>
      <w:r w:rsidR="00D44BFD" w:rsidRPr="0057736A">
        <w:rPr>
          <w:rStyle w:val="Appelnotedebasdep"/>
        </w:rPr>
        <w:footnoteReference w:id="9"/>
      </w:r>
      <w:r w:rsidR="00D44BFD" w:rsidRPr="0057736A">
        <w:t xml:space="preserve"> The results suggest that export diversification has been mainly driven by the exports to new markets</w:t>
      </w:r>
      <w:r w:rsidR="0057736A">
        <w:t>. The bulk of these exports have been</w:t>
      </w:r>
      <w:r w:rsidR="00D44BFD" w:rsidRPr="0057736A">
        <w:t xml:space="preserve"> generated by incumbent exporters which </w:t>
      </w:r>
      <w:r w:rsidR="001F08B0">
        <w:t xml:space="preserve">serve </w:t>
      </w:r>
      <w:r w:rsidR="0057736A">
        <w:t>new markets with a product, they</w:t>
      </w:r>
      <w:r w:rsidR="001F08B0">
        <w:t xml:space="preserve"> were already exporting</w:t>
      </w:r>
      <w:r w:rsidR="00D44BFD" w:rsidRPr="0057736A">
        <w:t xml:space="preserve"> or </w:t>
      </w:r>
      <w:r w:rsidR="0057736A">
        <w:t xml:space="preserve">with a product </w:t>
      </w:r>
      <w:r w:rsidR="001F08B0">
        <w:t>they started to ship</w:t>
      </w:r>
      <w:r w:rsidR="002424CF">
        <w:t xml:space="preserve"> but that </w:t>
      </w:r>
      <w:r w:rsidR="00D44BFD" w:rsidRPr="0057736A">
        <w:t>other firms</w:t>
      </w:r>
      <w:r w:rsidR="002424CF">
        <w:t xml:space="preserve"> </w:t>
      </w:r>
      <w:r w:rsidR="001F08B0">
        <w:t xml:space="preserve">were </w:t>
      </w:r>
      <w:r w:rsidR="002424CF">
        <w:t>export</w:t>
      </w:r>
      <w:r w:rsidR="001F08B0">
        <w:t>ing</w:t>
      </w:r>
      <w:r w:rsidR="00D44BFD" w:rsidRPr="0057736A">
        <w:t xml:space="preserve">. </w:t>
      </w:r>
      <w:r w:rsidR="00D44BFD" w:rsidRPr="00405624">
        <w:t xml:space="preserve">Along the intensive margin, diversification was driven by </w:t>
      </w:r>
      <w:r>
        <w:t xml:space="preserve">the expansion of non-traditional exports </w:t>
      </w:r>
      <w:r w:rsidR="00D44BFD" w:rsidRPr="00405624">
        <w:t xml:space="preserve">and by incumbent exporters. </w:t>
      </w:r>
    </w:p>
    <w:p w:rsidR="007F64BC" w:rsidRPr="006F132C" w:rsidRDefault="00D95AD1" w:rsidP="00391FEF">
      <w:pPr>
        <w:rPr>
          <w:rFonts w:cstheme="minorHAnsi"/>
        </w:rPr>
      </w:pPr>
      <w:r>
        <w:t>Finally, w</w:t>
      </w:r>
      <w:r w:rsidR="00DD3863">
        <w:t xml:space="preserve">e </w:t>
      </w:r>
      <w:r w:rsidR="00FE7C72">
        <w:t>analyze</w:t>
      </w:r>
      <w:r w:rsidR="00DD3863">
        <w:t xml:space="preserve"> the </w:t>
      </w:r>
      <w:r w:rsidR="00600B78">
        <w:rPr>
          <w:rFonts w:eastAsia="Calibri" w:cs="Times New Roman"/>
        </w:rPr>
        <w:t xml:space="preserve">potential </w:t>
      </w:r>
      <w:r w:rsidR="00DD3863">
        <w:rPr>
          <w:rFonts w:eastAsia="Calibri" w:cs="Times New Roman"/>
        </w:rPr>
        <w:t>factors affecting exporters' decision to introduce a new product, serve a new market, as well as their survival</w:t>
      </w:r>
      <w:r w:rsidR="00600B78">
        <w:rPr>
          <w:rFonts w:eastAsia="Calibri" w:cs="Times New Roman"/>
        </w:rPr>
        <w:t xml:space="preserve">. </w:t>
      </w:r>
      <w:r w:rsidR="00E234D2">
        <w:rPr>
          <w:rFonts w:eastAsia="SimSun"/>
        </w:rPr>
        <w:t xml:space="preserve">Our results suggest first that market experience is a critical driver of product diversification, while transport costs constitute a major obstacle. Second, </w:t>
      </w:r>
      <w:r w:rsidR="00E234D2">
        <w:t xml:space="preserve">product experience and the existence of a support </w:t>
      </w:r>
      <w:r w:rsidR="00E234D2" w:rsidRPr="005D2DA2">
        <w:t>program</w:t>
      </w:r>
      <w:r w:rsidR="00E234D2">
        <w:t xml:space="preserve"> have a positive effect on the probability to break into a new market. However, we cannot establish the directionality of the effect of the support program due to its potential </w:t>
      </w:r>
      <w:proofErr w:type="spellStart"/>
      <w:r w:rsidR="00E234D2">
        <w:t>endogeneity</w:t>
      </w:r>
      <w:proofErr w:type="spellEnd"/>
      <w:r w:rsidR="00E234D2">
        <w:t>.</w:t>
      </w:r>
      <w:r w:rsidR="00E234D2" w:rsidRPr="006D0796">
        <w:t xml:space="preserve"> </w:t>
      </w:r>
      <w:r w:rsidR="00E234D2">
        <w:t>Third, we find that market and product experience, as well as the existence of a support program have a positive effect on the survival of young exporters. Finally, our findings show that distance from the market has a negative effect on the probability of surviving. These results suggest that policies aiming at reducing transport costs and information asymmetries (e.g. export promotion activities) may be especially helpful in promoting export diversification in African countries such as Mali.</w:t>
      </w:r>
    </w:p>
    <w:p w:rsidR="002025DF" w:rsidRDefault="00403157" w:rsidP="00D02983">
      <w:pPr>
        <w:keepNext w:val="0"/>
      </w:pPr>
      <w:r>
        <w:t>The paper</w:t>
      </w:r>
      <w:r w:rsidR="00600B78" w:rsidRPr="00B40DF3">
        <w:t xml:space="preserve"> is organized as follows</w:t>
      </w:r>
      <w:r w:rsidR="00600B78">
        <w:t>. N</w:t>
      </w:r>
      <w:r w:rsidR="00600B78" w:rsidRPr="00B40DF3">
        <w:t>ext secti</w:t>
      </w:r>
      <w:r w:rsidR="00600B78">
        <w:t>on presents Mali’s export structure</w:t>
      </w:r>
      <w:r w:rsidR="00600B78" w:rsidRPr="00B40DF3">
        <w:t xml:space="preserve">. </w:t>
      </w:r>
      <w:r w:rsidR="002F293B">
        <w:t>Section 3</w:t>
      </w:r>
      <w:r w:rsidR="00600B78">
        <w:t xml:space="preserve"> looks at the exporters</w:t>
      </w:r>
      <w:r w:rsidR="002F293B">
        <w:t xml:space="preserve"> dynamics. Section 4</w:t>
      </w:r>
      <w:r w:rsidR="002F293B" w:rsidRPr="00B40DF3">
        <w:t xml:space="preserve"> </w:t>
      </w:r>
      <w:r w:rsidR="002F293B">
        <w:t>analyzes the sources of diversification at the country level</w:t>
      </w:r>
      <w:r w:rsidR="00092A23">
        <w:t xml:space="preserve"> and exporters contribution</w:t>
      </w:r>
      <w:r w:rsidR="002F293B">
        <w:t xml:space="preserve">. </w:t>
      </w:r>
      <w:r w:rsidR="002E4D0B">
        <w:t>Section 5</w:t>
      </w:r>
      <w:r w:rsidR="00600B78">
        <w:t xml:space="preserve"> </w:t>
      </w:r>
      <w:r w:rsidR="00600B78" w:rsidRPr="00B40DF3">
        <w:t>presents the</w:t>
      </w:r>
      <w:r w:rsidR="00600B78">
        <w:t xml:space="preserve"> results of</w:t>
      </w:r>
      <w:r w:rsidR="00600B78" w:rsidRPr="00B40DF3">
        <w:t xml:space="preserve"> </w:t>
      </w:r>
      <w:r w:rsidR="002E4D0B">
        <w:t xml:space="preserve">the </w:t>
      </w:r>
      <w:r w:rsidR="00600B78">
        <w:t>econometric analysis</w:t>
      </w:r>
      <w:r w:rsidR="00600B78" w:rsidRPr="00B40DF3">
        <w:t>. The last section concludes</w:t>
      </w:r>
      <w:r w:rsidR="00816004">
        <w:t xml:space="preserve"> and </w:t>
      </w:r>
      <w:r w:rsidR="00184DB1">
        <w:t>discusses</w:t>
      </w:r>
      <w:r w:rsidR="00816004">
        <w:t xml:space="preserve"> policy recommendations</w:t>
      </w:r>
      <w:r w:rsidR="00600B78" w:rsidRPr="00B40DF3">
        <w:t xml:space="preserve">. </w:t>
      </w:r>
      <w:r w:rsidR="0091038B" w:rsidRPr="00B40DF3">
        <w:t xml:space="preserve"> </w:t>
      </w:r>
    </w:p>
    <w:p w:rsidR="0023384D" w:rsidRDefault="00053969" w:rsidP="00F36EA2">
      <w:pPr>
        <w:pStyle w:val="Style1"/>
        <w:keepNext w:val="0"/>
        <w:keepLines w:val="0"/>
      </w:pPr>
      <w:bookmarkStart w:id="2" w:name="_Toc303332493"/>
      <w:bookmarkStart w:id="3" w:name="_Toc305445909"/>
      <w:r>
        <w:t xml:space="preserve">Mali’s export </w:t>
      </w:r>
      <w:r w:rsidR="002D2BBE">
        <w:t>structure</w:t>
      </w:r>
      <w:bookmarkEnd w:id="2"/>
      <w:bookmarkEnd w:id="3"/>
    </w:p>
    <w:p w:rsidR="00B94720" w:rsidRDefault="0023384D" w:rsidP="002D2BBE">
      <w:pPr>
        <w:keepNext w:val="0"/>
        <w:widowControl w:val="0"/>
      </w:pPr>
      <w:r w:rsidRPr="00BA435E">
        <w:t>In this section, we review Mali’s export structure at both product and country level. The data come from COMTRADE a</w:t>
      </w:r>
      <w:r w:rsidR="004B7D25">
        <w:t>nd cover the period 1996-2008.</w:t>
      </w:r>
      <w:r w:rsidR="007A2411">
        <w:rPr>
          <w:rStyle w:val="Appelnotedebasdep"/>
        </w:rPr>
        <w:footnoteReference w:id="10"/>
      </w:r>
      <w:r w:rsidR="004B7D25">
        <w:t xml:space="preserve"> </w:t>
      </w:r>
      <w:r w:rsidRPr="00BA435E">
        <w:t>The level of disaggregation is HS-6 digit.</w:t>
      </w:r>
    </w:p>
    <w:p w:rsidR="00690190" w:rsidRDefault="00690190" w:rsidP="00181631">
      <w:pPr>
        <w:pStyle w:val="Lgende"/>
        <w:keepNext w:val="0"/>
      </w:pPr>
      <w:bookmarkStart w:id="4" w:name="_Ref278446159"/>
      <w:r w:rsidRPr="00690190">
        <w:t xml:space="preserve">Figure </w:t>
      </w:r>
      <w:fldSimple w:instr=" SEQ Figure \* ARABIC ">
        <w:r w:rsidR="000610DD">
          <w:rPr>
            <w:noProof/>
          </w:rPr>
          <w:t>1</w:t>
        </w:r>
      </w:fldSimple>
      <w:bookmarkEnd w:id="4"/>
    </w:p>
    <w:p w:rsidR="00CE2279" w:rsidRDefault="001F72EF" w:rsidP="00181631">
      <w:pPr>
        <w:keepNext w:val="0"/>
        <w:jc w:val="center"/>
      </w:pPr>
      <w:r w:rsidRPr="001F72EF">
        <w:rPr>
          <w:noProof/>
          <w:lang w:val="fr-CH" w:eastAsia="fr-CH"/>
        </w:rPr>
        <w:lastRenderedPageBreak/>
        <w:drawing>
          <wp:inline distT="0" distB="0" distL="0" distR="0">
            <wp:extent cx="2865600" cy="2095200"/>
            <wp:effectExtent l="0" t="0" r="0" b="635"/>
            <wp:docPr id="2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865600" cy="2095200"/>
                    </a:xfrm>
                    <a:prstGeom prst="rect">
                      <a:avLst/>
                    </a:prstGeom>
                    <a:noFill/>
                    <a:ln w="9525">
                      <a:noFill/>
                      <a:miter lim="800000"/>
                      <a:headEnd/>
                      <a:tailEnd/>
                    </a:ln>
                  </pic:spPr>
                </pic:pic>
              </a:graphicData>
            </a:graphic>
          </wp:inline>
        </w:drawing>
      </w:r>
    </w:p>
    <w:p w:rsidR="00A1352E" w:rsidRDefault="00CC7B6D" w:rsidP="00CC7B6D">
      <w:pPr>
        <w:keepNext w:val="0"/>
        <w:widowControl w:val="0"/>
      </w:pPr>
      <w:r w:rsidRPr="0029003C">
        <w:t>Malian exports have been growing since</w:t>
      </w:r>
      <w:r>
        <w:t xml:space="preserve"> 2000, increasing from just US$ 0.5 billion to almost US$ 1.9 billion in 2008. However, this trend mainly reflects the increase in the export value of one single commodity, namely gold (</w:t>
      </w:r>
      <w:fldSimple w:instr=" REF _Ref278446159 \h  \* MERGEFORMAT ">
        <w:r w:rsidR="000610DD" w:rsidRPr="00690190">
          <w:t xml:space="preserve">Figure </w:t>
        </w:r>
        <w:r w:rsidR="000610DD">
          <w:t>1</w:t>
        </w:r>
      </w:fldSimple>
      <w:r>
        <w:t>).</w:t>
      </w:r>
      <w:r w:rsidR="00E11EC2">
        <w:rPr>
          <w:rStyle w:val="Appelnotedebasdep"/>
        </w:rPr>
        <w:footnoteReference w:id="11"/>
      </w:r>
      <w:r>
        <w:t xml:space="preserve"> Gold is by far Mali’s </w:t>
      </w:r>
      <w:r w:rsidRPr="001C011F">
        <w:t>main source of export revenue accounting</w:t>
      </w:r>
      <w:r>
        <w:t xml:space="preserve"> for US$ 1.45 billion and about</w:t>
      </w:r>
      <w:r w:rsidRPr="001C011F">
        <w:t xml:space="preserve"> 75% of total exports</w:t>
      </w:r>
      <w:r>
        <w:t xml:space="preserve"> in 2008,</w:t>
      </w:r>
      <w:r>
        <w:rPr>
          <w:rStyle w:val="Appelnotedebasdep"/>
          <w:rFonts w:cs="Times New Roman"/>
        </w:rPr>
        <w:footnoteReference w:id="12"/>
      </w:r>
      <w:r>
        <w:t xml:space="preserve"> up fr</w:t>
      </w:r>
      <w:r w:rsidRPr="00623306">
        <w:t>om 60% in 20</w:t>
      </w:r>
      <w:r>
        <w:t>00.</w:t>
      </w:r>
      <w:r w:rsidR="00F7367D">
        <w:t xml:space="preserve"> This increase in both absolute and relative terms has been mainly driven by the boom in gold prices, which more than tripled between 2000 and 2008 and went from about </w:t>
      </w:r>
      <w:r w:rsidR="00F7367D" w:rsidRPr="00D93361">
        <w:t>US$ 9,000/kg to 28,000/kg</w:t>
      </w:r>
      <w:r w:rsidR="00F7367D">
        <w:t>.</w:t>
      </w:r>
      <w:r w:rsidR="00F7367D" w:rsidRPr="00D93361">
        <w:rPr>
          <w:rStyle w:val="Appelnotedebasdep"/>
        </w:rPr>
        <w:footnoteReference w:id="13"/>
      </w:r>
      <w:r w:rsidR="00F7367D">
        <w:t xml:space="preserve"> </w:t>
      </w:r>
      <w:r w:rsidR="00D90AC2">
        <w:t>Cotton represents Mali's</w:t>
      </w:r>
      <w:r w:rsidR="002262E0">
        <w:t xml:space="preserve"> second la</w:t>
      </w:r>
      <w:r w:rsidR="00D90AC2">
        <w:t>rgest export</w:t>
      </w:r>
      <w:r w:rsidR="00E11EC2">
        <w:t xml:space="preserve">. It accounted for </w:t>
      </w:r>
      <w:r w:rsidR="002262E0" w:rsidRPr="001C011F">
        <w:t>10% of exports</w:t>
      </w:r>
      <w:r w:rsidR="002262E0">
        <w:t xml:space="preserve"> in 2008</w:t>
      </w:r>
      <w:r w:rsidR="00E11EC2">
        <w:t xml:space="preserve"> </w:t>
      </w:r>
      <w:r w:rsidR="00F7367D">
        <w:t>or US$ 20</w:t>
      </w:r>
      <w:r w:rsidR="00FA413C">
        <w:t>3</w:t>
      </w:r>
      <w:r w:rsidR="00F7367D">
        <w:t xml:space="preserve"> million, against US$ 162 million in 2000.</w:t>
      </w:r>
      <w:r w:rsidR="00F7367D">
        <w:rPr>
          <w:rStyle w:val="Appelnotedebasdep"/>
        </w:rPr>
        <w:footnoteReference w:id="14"/>
      </w:r>
      <w:r w:rsidR="00C61698">
        <w:t xml:space="preserve"> </w:t>
      </w:r>
      <w:r w:rsidR="006A2AEA">
        <w:t xml:space="preserve">As for </w:t>
      </w:r>
      <w:r w:rsidR="009B44E7">
        <w:t xml:space="preserve">non-gold and non-cotton </w:t>
      </w:r>
      <w:r w:rsidR="002C64E7">
        <w:t>e</w:t>
      </w:r>
      <w:r w:rsidR="009B44E7">
        <w:t>xports</w:t>
      </w:r>
      <w:r w:rsidR="002C64E7">
        <w:t xml:space="preserve">, they </w:t>
      </w:r>
      <w:r w:rsidR="002554B6">
        <w:t xml:space="preserve">have </w:t>
      </w:r>
      <w:r w:rsidR="002C64E7">
        <w:t xml:space="preserve">slowly expanded since 2002 and </w:t>
      </w:r>
      <w:r w:rsidR="002554B6">
        <w:t xml:space="preserve">reached </w:t>
      </w:r>
      <w:r w:rsidR="005A4E71">
        <w:t>almost US$ 274</w:t>
      </w:r>
      <w:r w:rsidR="00A1352E">
        <w:t xml:space="preserve"> million in 2008</w:t>
      </w:r>
      <w:r w:rsidR="00F7367D">
        <w:t>, up from</w:t>
      </w:r>
      <w:r w:rsidR="005A4E71">
        <w:t xml:space="preserve"> US$ 89</w:t>
      </w:r>
      <w:r w:rsidR="00A1352E">
        <w:t xml:space="preserve"> million in 2002. </w:t>
      </w:r>
    </w:p>
    <w:p w:rsidR="00F05FDF" w:rsidRDefault="00A1352E" w:rsidP="00B94720">
      <w:pPr>
        <w:keepNext w:val="0"/>
      </w:pPr>
      <w:r>
        <w:t>Geographically, Malian exports are also highly con</w:t>
      </w:r>
      <w:r w:rsidR="00BE2951">
        <w:t xml:space="preserve">centrated. </w:t>
      </w:r>
      <w:r w:rsidRPr="00636AE4">
        <w:t>South Africa</w:t>
      </w:r>
      <w:r>
        <w:t xml:space="preserve"> was Mali’s main tr</w:t>
      </w:r>
      <w:r w:rsidR="00BE2951">
        <w:t xml:space="preserve">ade partner during most of 1996-2008 </w:t>
      </w:r>
      <w:r>
        <w:t>period. In 2008 exports to South Africa accounted</w:t>
      </w:r>
      <w:r w:rsidRPr="00636AE4">
        <w:t xml:space="preserve"> for 73% of total</w:t>
      </w:r>
      <w:r>
        <w:t xml:space="preserve"> exports but </w:t>
      </w:r>
      <w:r w:rsidR="00CB098C">
        <w:t xml:space="preserve">these </w:t>
      </w:r>
      <w:r>
        <w:t xml:space="preserve">consisted mainly of </w:t>
      </w:r>
      <w:r w:rsidRPr="00636AE4">
        <w:t>gold. I</w:t>
      </w:r>
      <w:r>
        <w:t>t was</w:t>
      </w:r>
      <w:r w:rsidRPr="00636AE4">
        <w:t xml:space="preserve"> follow</w:t>
      </w:r>
      <w:r>
        <w:t>ed</w:t>
      </w:r>
      <w:r w:rsidRPr="00636AE4">
        <w:t xml:space="preserve"> by Senegal (7</w:t>
      </w:r>
      <w:r>
        <w:t>.0</w:t>
      </w:r>
      <w:r w:rsidRPr="00636AE4">
        <w:t xml:space="preserve">%) and Ivory Coast </w:t>
      </w:r>
      <w:r>
        <w:t>(2.5</w:t>
      </w:r>
      <w:r w:rsidRPr="00636AE4">
        <w:t xml:space="preserve">%). </w:t>
      </w:r>
      <w:r>
        <w:t xml:space="preserve">If </w:t>
      </w:r>
      <w:r w:rsidRPr="002635EA">
        <w:t>we exclude gold</w:t>
      </w:r>
      <w:r w:rsidR="000C2D23">
        <w:t>,</w:t>
      </w:r>
      <w:r>
        <w:t xml:space="preserve"> Mali’s main partner becomes </w:t>
      </w:r>
      <w:r w:rsidRPr="002635EA">
        <w:t xml:space="preserve">Senegal and South Africa </w:t>
      </w:r>
      <w:r>
        <w:t xml:space="preserve">only ranks </w:t>
      </w:r>
      <w:r w:rsidRPr="002635EA">
        <w:t>27</w:t>
      </w:r>
      <w:r w:rsidRPr="002635EA">
        <w:rPr>
          <w:vertAlign w:val="superscript"/>
        </w:rPr>
        <w:t>th</w:t>
      </w:r>
      <w:r w:rsidRPr="002635EA">
        <w:t xml:space="preserve"> (</w:t>
      </w:r>
      <w:r>
        <w:t xml:space="preserve">as of </w:t>
      </w:r>
      <w:r w:rsidRPr="002635EA">
        <w:t xml:space="preserve">2008). </w:t>
      </w:r>
    </w:p>
    <w:p w:rsidR="00CC0C6E" w:rsidRDefault="00460674" w:rsidP="00583D43">
      <w:pPr>
        <w:keepNext w:val="0"/>
      </w:pPr>
      <w:r>
        <w:t>T</w:t>
      </w:r>
      <w:r w:rsidR="003724B6">
        <w:t>o evaluate more formally Mali’s export structure</w:t>
      </w:r>
      <w:r w:rsidR="00F77296">
        <w:t xml:space="preserve"> and its evolution</w:t>
      </w:r>
      <w:r w:rsidR="003724B6">
        <w:t xml:space="preserve">, we compute the Normalized </w:t>
      </w:r>
      <w:proofErr w:type="spellStart"/>
      <w:r w:rsidR="003724B6" w:rsidRPr="00295B1D">
        <w:t>Herfindahl</w:t>
      </w:r>
      <w:proofErr w:type="spellEnd"/>
      <w:r w:rsidR="003724B6" w:rsidRPr="00295B1D">
        <w:t>-Hirschman</w:t>
      </w:r>
      <w:r w:rsidR="003724B6">
        <w:t xml:space="preserve"> (NHH)</w:t>
      </w:r>
      <w:r w:rsidR="00CB5A3B">
        <w:t xml:space="preserve"> i</w:t>
      </w:r>
      <w:r w:rsidR="003724B6" w:rsidRPr="00295B1D">
        <w:t>ndex</w:t>
      </w:r>
      <w:r w:rsidR="003724B6">
        <w:t xml:space="preserve"> which measures the degree of product concentration of a country’s export portfolio.</w:t>
      </w:r>
      <w:r w:rsidR="005430CA">
        <w:rPr>
          <w:rStyle w:val="Appelnotedebasdep"/>
          <w:rFonts w:cs="Times New Roman"/>
        </w:rPr>
        <w:footnoteReference w:id="15"/>
      </w:r>
      <w:r w:rsidR="003724B6">
        <w:t xml:space="preserve"> It ranges between 0 and 1 with a value close to 0 indicating high diversification. An index close to 1 suggests high concentration. The NHH Index </w:t>
      </w:r>
      <w:r w:rsidR="003724B6" w:rsidRPr="00295B1D">
        <w:t xml:space="preserve">is </w:t>
      </w:r>
      <w:r w:rsidR="003724B6">
        <w:t>computed for each year of the period under review for Mali and six other Sub-Saharan countries.</w:t>
      </w:r>
      <w:r w:rsidR="005430CA">
        <w:rPr>
          <w:rStyle w:val="Appelnotedebasdep"/>
        </w:rPr>
        <w:footnoteReference w:id="16"/>
      </w:r>
      <w:r w:rsidR="003724B6">
        <w:t xml:space="preserve"> </w:t>
      </w:r>
      <w:r w:rsidR="00D65400">
        <w:t>We also compute the NHH Index at the market level.</w:t>
      </w:r>
      <w:r w:rsidR="00CB5A3B">
        <w:t xml:space="preserve"> </w:t>
      </w:r>
      <w:r w:rsidR="00493014">
        <w:t>R</w:t>
      </w:r>
      <w:r w:rsidR="00CB5A3B">
        <w:t>esults</w:t>
      </w:r>
      <w:r w:rsidR="00493014">
        <w:t xml:space="preserve"> are exhibited in </w:t>
      </w:r>
      <w:r w:rsidR="000522C4">
        <w:fldChar w:fldCharType="begin"/>
      </w:r>
      <w:r w:rsidR="00493014">
        <w:instrText xml:space="preserve"> REF _Ref305246493 \h </w:instrText>
      </w:r>
      <w:r w:rsidR="000522C4">
        <w:fldChar w:fldCharType="separate"/>
      </w:r>
      <w:r w:rsidR="000610DD">
        <w:t xml:space="preserve">Figures </w:t>
      </w:r>
      <w:r w:rsidR="000610DD">
        <w:rPr>
          <w:noProof/>
        </w:rPr>
        <w:t>2</w:t>
      </w:r>
      <w:r w:rsidR="000610DD">
        <w:t>a and 2b</w:t>
      </w:r>
      <w:r w:rsidR="000522C4">
        <w:fldChar w:fldCharType="end"/>
      </w:r>
      <w:r w:rsidR="00CB5A3B">
        <w:t xml:space="preserve">.  </w:t>
      </w:r>
      <w:r w:rsidR="00D65400">
        <w:t xml:space="preserve"> </w:t>
      </w:r>
    </w:p>
    <w:p w:rsidR="00CC0C6E" w:rsidRDefault="00CC0C6E" w:rsidP="00CC0C6E">
      <w:pPr>
        <w:pStyle w:val="Lgende"/>
        <w:keepNext w:val="0"/>
        <w:widowControl w:val="0"/>
      </w:pPr>
      <w:bookmarkStart w:id="5" w:name="_Ref302558269"/>
      <w:bookmarkStart w:id="6" w:name="_Ref305246493"/>
      <w:r>
        <w:lastRenderedPageBreak/>
        <w:t xml:space="preserve">Figures </w:t>
      </w:r>
      <w:fldSimple w:instr=" SEQ Figure \* ARABIC ">
        <w:r w:rsidR="000610DD">
          <w:rPr>
            <w:noProof/>
          </w:rPr>
          <w:t>2</w:t>
        </w:r>
      </w:fldSimple>
      <w:bookmarkStart w:id="7" w:name="_Ref302558218"/>
      <w:bookmarkEnd w:id="5"/>
      <w:r>
        <w:t>a and 2b</w:t>
      </w:r>
      <w:bookmarkEnd w:id="6"/>
      <w:bookmarkEnd w:id="7"/>
    </w:p>
    <w:p w:rsidR="00CC0C6E" w:rsidRDefault="00CC0C6E" w:rsidP="00CC0C6E">
      <w:pPr>
        <w:keepNext w:val="0"/>
        <w:jc w:val="center"/>
      </w:pPr>
      <w:r w:rsidRPr="00CC0C6E">
        <w:rPr>
          <w:noProof/>
          <w:lang w:val="fr-CH" w:eastAsia="fr-CH"/>
        </w:rPr>
        <w:drawing>
          <wp:inline distT="0" distB="0" distL="0" distR="0">
            <wp:extent cx="5709600" cy="20664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09600" cy="2066400"/>
                    </a:xfrm>
                    <a:prstGeom prst="rect">
                      <a:avLst/>
                    </a:prstGeom>
                    <a:noFill/>
                    <a:ln>
                      <a:noFill/>
                    </a:ln>
                  </pic:spPr>
                </pic:pic>
              </a:graphicData>
            </a:graphic>
          </wp:inline>
        </w:drawing>
      </w:r>
    </w:p>
    <w:p w:rsidR="00C55AF0" w:rsidRDefault="00C55AF0" w:rsidP="00ED7D9F">
      <w:pPr>
        <w:keepNext w:val="0"/>
        <w:rPr>
          <w:rFonts w:cs="Times New Roman"/>
        </w:rPr>
      </w:pPr>
      <w:r>
        <w:t xml:space="preserve">In both cases, Mali displays the highest export concentration among the comparator countries, while South Africa exhibits the highest level of diversification. </w:t>
      </w:r>
    </w:p>
    <w:p w:rsidR="00AA187F" w:rsidRPr="00583D43" w:rsidRDefault="00E737E5" w:rsidP="00ED7D9F">
      <w:pPr>
        <w:keepNext w:val="0"/>
      </w:pPr>
      <w:r w:rsidRPr="000A6E22">
        <w:rPr>
          <w:rFonts w:cs="Times New Roman"/>
        </w:rPr>
        <w:t xml:space="preserve">In conclusion, the data confirm that Mali is </w:t>
      </w:r>
      <w:r w:rsidRPr="000A6E22">
        <w:rPr>
          <w:rFonts w:cs="Times New Roman"/>
          <w:bCs w:val="0"/>
          <w:szCs w:val="22"/>
        </w:rPr>
        <w:t>heavily dependent on a very narrow base of products and markets</w:t>
      </w:r>
      <w:r w:rsidR="00771106">
        <w:rPr>
          <w:rFonts w:cs="Times New Roman"/>
          <w:bCs w:val="0"/>
          <w:szCs w:val="22"/>
        </w:rPr>
        <w:t>, and that t</w:t>
      </w:r>
      <w:r w:rsidR="00921CF5" w:rsidRPr="000A6E22">
        <w:rPr>
          <w:rFonts w:cs="Times New Roman"/>
          <w:bCs w:val="0"/>
          <w:szCs w:val="22"/>
        </w:rPr>
        <w:t>his situation has not changed during the last ten years</w:t>
      </w:r>
      <w:r w:rsidRPr="000A6E22">
        <w:rPr>
          <w:rFonts w:cs="Times New Roman"/>
          <w:bCs w:val="0"/>
          <w:szCs w:val="22"/>
        </w:rPr>
        <w:t>.</w:t>
      </w:r>
    </w:p>
    <w:p w:rsidR="006414FB" w:rsidRPr="006414FB" w:rsidRDefault="006414FB" w:rsidP="00072611">
      <w:pPr>
        <w:pStyle w:val="Style1"/>
        <w:numPr>
          <w:ilvl w:val="0"/>
          <w:numId w:val="49"/>
        </w:numPr>
      </w:pPr>
      <w:bookmarkStart w:id="8" w:name="_Toc303332497"/>
      <w:bookmarkStart w:id="9" w:name="_Toc305445910"/>
      <w:r w:rsidRPr="006414FB">
        <w:t>Mali</w:t>
      </w:r>
      <w:r w:rsidR="00AD0879">
        <w:t>an exporters</w:t>
      </w:r>
      <w:bookmarkEnd w:id="8"/>
      <w:r w:rsidR="008928E6">
        <w:t>: firm-level dynamics</w:t>
      </w:r>
      <w:bookmarkEnd w:id="9"/>
      <w:r w:rsidR="008928E6">
        <w:t xml:space="preserve"> </w:t>
      </w:r>
    </w:p>
    <w:p w:rsidR="006414FB" w:rsidRPr="009D6BBA" w:rsidRDefault="001F291D" w:rsidP="00583763">
      <w:r>
        <w:t>Diversification is a challenge as exporting itself is a difficult, risky and complex activity. A country’s capacity to diversify depends on the ability of its exporters</w:t>
      </w:r>
      <w:r>
        <w:rPr>
          <w:rFonts w:eastAsia="SimSun"/>
        </w:rPr>
        <w:t xml:space="preserve"> </w:t>
      </w:r>
      <w:r>
        <w:t>to introduce new products, serve new markets and survive.</w:t>
      </w:r>
      <w:r w:rsidR="009D6BBA">
        <w:t xml:space="preserve"> To understand Mali’s diversification process, it is thus crucial to understand exporters’ performance.  </w:t>
      </w:r>
      <w:r w:rsidR="00D55CC1">
        <w:t>With</w:t>
      </w:r>
      <w:r w:rsidR="009D6BBA">
        <w:t xml:space="preserve"> this objective</w:t>
      </w:r>
      <w:r w:rsidR="00D55CC1">
        <w:t xml:space="preserve">, we </w:t>
      </w:r>
      <w:r w:rsidR="009D6BBA">
        <w:t xml:space="preserve">analyze </w:t>
      </w:r>
      <w:r w:rsidR="00D55CC1">
        <w:t>the dynamics among Malian exporters</w:t>
      </w:r>
      <w:r w:rsidR="009D6BBA">
        <w:t xml:space="preserve"> </w:t>
      </w:r>
      <w:r w:rsidR="006414FB">
        <w:t>using a very</w:t>
      </w:r>
      <w:r w:rsidR="006414FB" w:rsidRPr="006A161D">
        <w:t xml:space="preserve"> detailed export firm-level dataset pr</w:t>
      </w:r>
      <w:r w:rsidR="006414FB">
        <w:t>ovided by Mali’s</w:t>
      </w:r>
      <w:r w:rsidR="006414FB" w:rsidRPr="006A161D">
        <w:t xml:space="preserve"> Custom Agency.</w:t>
      </w:r>
      <w:r w:rsidR="00266A64" w:rsidRPr="006647E9">
        <w:rPr>
          <w:rStyle w:val="Appelnotedebasdep"/>
        </w:rPr>
        <w:footnoteReference w:id="17"/>
      </w:r>
      <w:r w:rsidR="006414FB" w:rsidRPr="006A161D">
        <w:t xml:space="preserve"> The data</w:t>
      </w:r>
      <w:r w:rsidR="006414FB">
        <w:t>set</w:t>
      </w:r>
      <w:r w:rsidR="006414FB" w:rsidRPr="006A161D">
        <w:t xml:space="preserve"> contain</w:t>
      </w:r>
      <w:r w:rsidR="006414FB">
        <w:t>s</w:t>
      </w:r>
      <w:r w:rsidR="006414FB" w:rsidRPr="006A161D">
        <w:t xml:space="preserve"> </w:t>
      </w:r>
      <w:r w:rsidR="006414FB">
        <w:t xml:space="preserve">the value and quantity of </w:t>
      </w:r>
      <w:r w:rsidR="006414FB" w:rsidRPr="006A161D">
        <w:t xml:space="preserve">all transactions by destination </w:t>
      </w:r>
      <w:r w:rsidR="006414FB">
        <w:t xml:space="preserve">and by product at the HS 6-digit level </w:t>
      </w:r>
      <w:r w:rsidR="006414FB" w:rsidRPr="006A161D">
        <w:t>for all exporters</w:t>
      </w:r>
      <w:r w:rsidR="006414FB">
        <w:rPr>
          <w:rStyle w:val="Appelnotedebasdep"/>
        </w:rPr>
        <w:footnoteReference w:id="18"/>
      </w:r>
      <w:r w:rsidR="006414FB" w:rsidRPr="006A161D">
        <w:t xml:space="preserve"> </w:t>
      </w:r>
      <w:r w:rsidR="006414FB">
        <w:t xml:space="preserve">for the period 2005-2008. Thanks to its granularity, the dataset provides valuable insight into exporters’ product and market diversification strategies, as well as on their survival. </w:t>
      </w:r>
      <w:r w:rsidR="006414FB" w:rsidRPr="00737A5C">
        <w:t>None of which have been documented in previous studies.</w:t>
      </w:r>
      <w:r w:rsidR="006414FB">
        <w:t xml:space="preserve"> </w:t>
      </w:r>
    </w:p>
    <w:p w:rsidR="006414FB" w:rsidRPr="00341069" w:rsidRDefault="006414FB" w:rsidP="006414FB">
      <w:pPr>
        <w:keepNext w:val="0"/>
        <w:widowControl w:val="0"/>
        <w:spacing w:after="60"/>
        <w:rPr>
          <w:rFonts w:ascii="Garamond" w:hAnsi="Garamond"/>
          <w:b/>
          <w:sz w:val="24"/>
          <w:szCs w:val="24"/>
        </w:rPr>
      </w:pPr>
      <w:r w:rsidRPr="00341069">
        <w:rPr>
          <w:rFonts w:ascii="Garamond" w:hAnsi="Garamond"/>
          <w:b/>
          <w:sz w:val="24"/>
          <w:szCs w:val="24"/>
        </w:rPr>
        <w:t>Exporters, products and markets</w:t>
      </w:r>
    </w:p>
    <w:p w:rsidR="006414FB" w:rsidRDefault="000522C4" w:rsidP="006414FB">
      <w:pPr>
        <w:keepNext w:val="0"/>
        <w:widowControl w:val="0"/>
      </w:pPr>
      <w:r>
        <w:fldChar w:fldCharType="begin"/>
      </w:r>
      <w:r w:rsidR="006414FB">
        <w:instrText xml:space="preserve"> REF _Ref282467355 \h </w:instrText>
      </w:r>
      <w:r>
        <w:fldChar w:fldCharType="separate"/>
      </w:r>
      <w:r w:rsidR="000610DD">
        <w:t xml:space="preserve">Table </w:t>
      </w:r>
      <w:r w:rsidR="000610DD">
        <w:rPr>
          <w:noProof/>
        </w:rPr>
        <w:t>1</w:t>
      </w:r>
      <w:r>
        <w:fldChar w:fldCharType="end"/>
      </w:r>
      <w:r w:rsidR="006414FB">
        <w:t xml:space="preserve"> </w:t>
      </w:r>
      <w:r w:rsidR="006414FB" w:rsidRPr="006A161D">
        <w:t>reports the number of exporting firms, product</w:t>
      </w:r>
      <w:r w:rsidR="006414FB">
        <w:t>s and markets between 2005 and 2008</w:t>
      </w:r>
      <w:bookmarkStart w:id="10" w:name="_Ref277854891"/>
      <w:bookmarkStart w:id="11" w:name="_Ref277854876"/>
      <w:r w:rsidR="006414FB">
        <w:t>.</w:t>
      </w:r>
    </w:p>
    <w:p w:rsidR="006414FB" w:rsidRDefault="006414FB" w:rsidP="006414FB">
      <w:pPr>
        <w:pStyle w:val="Lgende"/>
        <w:keepNext w:val="0"/>
        <w:widowControl w:val="0"/>
      </w:pPr>
      <w:bookmarkStart w:id="12" w:name="_Ref282467355"/>
      <w:r>
        <w:t xml:space="preserve">Table </w:t>
      </w:r>
      <w:fldSimple w:instr=" SEQ Table \* ARABIC ">
        <w:r w:rsidR="000610DD">
          <w:rPr>
            <w:noProof/>
          </w:rPr>
          <w:t>1</w:t>
        </w:r>
      </w:fldSimple>
      <w:bookmarkEnd w:id="10"/>
      <w:bookmarkEnd w:id="12"/>
      <w:r>
        <w:t>:</w:t>
      </w:r>
      <w:r w:rsidRPr="002237AF">
        <w:t xml:space="preserve"> </w:t>
      </w:r>
      <w:r>
        <w:t>Summary statistics of Malian exporters</w:t>
      </w:r>
      <w:bookmarkEnd w:id="11"/>
    </w:p>
    <w:p w:rsidR="006414FB" w:rsidRDefault="006414FB" w:rsidP="006414FB">
      <w:pPr>
        <w:keepNext w:val="0"/>
        <w:widowControl w:val="0"/>
        <w:jc w:val="center"/>
      </w:pPr>
      <w:r w:rsidRPr="00B800AE">
        <w:rPr>
          <w:noProof/>
          <w:lang w:val="fr-CH" w:eastAsia="fr-CH"/>
        </w:rPr>
        <w:lastRenderedPageBreak/>
        <w:drawing>
          <wp:inline distT="0" distB="0" distL="0" distR="0">
            <wp:extent cx="4683600" cy="2307600"/>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683600" cy="2307600"/>
                    </a:xfrm>
                    <a:prstGeom prst="rect">
                      <a:avLst/>
                    </a:prstGeom>
                    <a:noFill/>
                    <a:ln w="9525">
                      <a:noFill/>
                      <a:miter lim="800000"/>
                      <a:headEnd/>
                      <a:tailEnd/>
                    </a:ln>
                  </pic:spPr>
                </pic:pic>
              </a:graphicData>
            </a:graphic>
          </wp:inline>
        </w:drawing>
      </w:r>
    </w:p>
    <w:p w:rsidR="006414FB" w:rsidRDefault="006414FB" w:rsidP="006414FB">
      <w:pPr>
        <w:keepNext w:val="0"/>
        <w:widowControl w:val="0"/>
      </w:pPr>
      <w:r>
        <w:t>The data</w:t>
      </w:r>
      <w:r>
        <w:rPr>
          <w:rStyle w:val="Appelnotedebasdep"/>
        </w:rPr>
        <w:footnoteReference w:id="19"/>
      </w:r>
      <w:r>
        <w:t xml:space="preserve"> reveal that the number of exporters and products </w:t>
      </w:r>
      <w:r w:rsidR="00A95EF7">
        <w:t xml:space="preserve">has </w:t>
      </w:r>
      <w:r>
        <w:t>increased in the last four years to 2008. In that year, Mali exported 741 different products, 22% mo</w:t>
      </w:r>
      <w:r w:rsidR="00A95EF7">
        <w:t xml:space="preserve">re products than in 2005 and </w:t>
      </w:r>
      <w:r>
        <w:t>the number of exporters rose from 269 to 328. Meanwhile, the number of served markets remained basically</w:t>
      </w:r>
      <w:r w:rsidRPr="000E6AF8">
        <w:t xml:space="preserve"> </w:t>
      </w:r>
      <w:r w:rsidRPr="005E5B82">
        <w:t>constant</w:t>
      </w:r>
      <w:r>
        <w:t xml:space="preserve"> – 69 in 2008 against 71 in 2005.</w:t>
      </w:r>
      <w:r>
        <w:rPr>
          <w:rStyle w:val="Appelnotedebasdep"/>
        </w:rPr>
        <w:footnoteReference w:id="20"/>
      </w:r>
      <w:r w:rsidR="00A95EF7">
        <w:t xml:space="preserve"> Compared to</w:t>
      </w:r>
      <w:r>
        <w:t xml:space="preserve"> other countries in the region, Mali displays the lowest number of export markets and of expor</w:t>
      </w:r>
      <w:r w:rsidR="00372C61">
        <w:t>ted products</w:t>
      </w:r>
      <w:r>
        <w:t>.</w:t>
      </w:r>
      <w:r w:rsidR="00A95EF7">
        <w:t xml:space="preserve"> </w:t>
      </w:r>
      <w:r w:rsidRPr="00603139">
        <w:t xml:space="preserve"> </w:t>
      </w:r>
      <w:r>
        <w:t>On average, countries in the comparison group exported 2,287 products to 144 destinations during 2008.</w:t>
      </w:r>
      <w:r>
        <w:rPr>
          <w:rStyle w:val="Appelnotedebasdep"/>
        </w:rPr>
        <w:footnoteReference w:id="21"/>
      </w:r>
      <w:r>
        <w:t xml:space="preserve"> </w:t>
      </w:r>
    </w:p>
    <w:p w:rsidR="006414FB" w:rsidRPr="00341069" w:rsidRDefault="006414FB" w:rsidP="006414FB">
      <w:pPr>
        <w:keepNext w:val="0"/>
        <w:widowControl w:val="0"/>
        <w:spacing w:after="60"/>
        <w:rPr>
          <w:rFonts w:ascii="Garamond" w:hAnsi="Garamond"/>
          <w:b/>
          <w:sz w:val="24"/>
          <w:szCs w:val="24"/>
        </w:rPr>
      </w:pPr>
      <w:r w:rsidRPr="00341069">
        <w:rPr>
          <w:rFonts w:ascii="Garamond" w:hAnsi="Garamond"/>
          <w:b/>
          <w:sz w:val="24"/>
          <w:szCs w:val="24"/>
        </w:rPr>
        <w:t xml:space="preserve">Exporters’ portfolio </w:t>
      </w:r>
    </w:p>
    <w:p w:rsidR="000A6FB6" w:rsidRDefault="006414FB" w:rsidP="005A0F48">
      <w:pPr>
        <w:keepNext w:val="0"/>
        <w:widowControl w:val="0"/>
      </w:pPr>
      <w:r>
        <w:t>The data</w:t>
      </w:r>
      <w:r w:rsidR="00452F1B">
        <w:t xml:space="preserve"> </w:t>
      </w:r>
      <w:r>
        <w:t xml:space="preserve">also shows that </w:t>
      </w:r>
      <w:r w:rsidR="000A6FB6">
        <w:t>multi-product and multi-market exporters</w:t>
      </w:r>
      <w:r w:rsidR="008427FF">
        <w:t xml:space="preserve">, who represent </w:t>
      </w:r>
      <w:r w:rsidR="0038195A">
        <w:t xml:space="preserve">on average </w:t>
      </w:r>
      <w:r w:rsidR="008427FF">
        <w:t xml:space="preserve">less than half </w:t>
      </w:r>
      <w:r w:rsidR="000A6FB6">
        <w:t>of exporters</w:t>
      </w:r>
      <w:r w:rsidR="00B45C9D">
        <w:t xml:space="preserve"> (i.e. 40</w:t>
      </w:r>
      <w:r w:rsidR="008427FF">
        <w:t>%</w:t>
      </w:r>
      <w:r w:rsidR="00795BD7">
        <w:t xml:space="preserve"> or </w:t>
      </w:r>
      <w:r w:rsidR="009B38F1">
        <w:t>118</w:t>
      </w:r>
      <w:r w:rsidR="00795BD7">
        <w:t xml:space="preserve"> exporters</w:t>
      </w:r>
      <w:r w:rsidR="008427FF">
        <w:t>)</w:t>
      </w:r>
      <w:r w:rsidR="000A6FB6">
        <w:t xml:space="preserve">, account for almost </w:t>
      </w:r>
      <w:r w:rsidR="0033460A">
        <w:t>(i.e. 92.0</w:t>
      </w:r>
      <w:r w:rsidR="00262D33">
        <w:t xml:space="preserve">%) </w:t>
      </w:r>
      <w:r w:rsidR="008427FF">
        <w:t xml:space="preserve">all </w:t>
      </w:r>
      <w:r w:rsidR="00803DA4">
        <w:t xml:space="preserve">Malian exports </w:t>
      </w:r>
      <w:r w:rsidR="00262D33">
        <w:t>(</w:t>
      </w:r>
      <w:r w:rsidR="000522C4">
        <w:fldChar w:fldCharType="begin"/>
      </w:r>
      <w:r w:rsidR="00196D2B">
        <w:instrText xml:space="preserve"> REF _Ref305255044 \h </w:instrText>
      </w:r>
      <w:r w:rsidR="000522C4">
        <w:fldChar w:fldCharType="separate"/>
      </w:r>
      <w:r w:rsidR="000610DD">
        <w:t xml:space="preserve">Figures </w:t>
      </w:r>
      <w:r w:rsidR="000610DD">
        <w:rPr>
          <w:noProof/>
        </w:rPr>
        <w:t>3</w:t>
      </w:r>
      <w:r w:rsidR="000610DD">
        <w:t>a and 3b</w:t>
      </w:r>
      <w:r w:rsidR="000522C4">
        <w:fldChar w:fldCharType="end"/>
      </w:r>
      <w:r w:rsidR="00262D33">
        <w:t>)</w:t>
      </w:r>
      <w:r w:rsidR="000A6FB6">
        <w:t>.</w:t>
      </w:r>
      <w:r w:rsidR="005E0145">
        <w:t xml:space="preserve"> Within this group</w:t>
      </w:r>
      <w:r w:rsidR="008427FF">
        <w:t xml:space="preserve">, </w:t>
      </w:r>
      <w:r w:rsidR="00B30A27">
        <w:t>exporters shipping</w:t>
      </w:r>
      <w:r w:rsidR="008427FF">
        <w:t xml:space="preserve"> more than five produc</w:t>
      </w:r>
      <w:r w:rsidR="00803DA4">
        <w:t>ts</w:t>
      </w:r>
      <w:r w:rsidR="00262D33">
        <w:t xml:space="preserve"> </w:t>
      </w:r>
      <w:r w:rsidR="005E0145">
        <w:t xml:space="preserve">generate </w:t>
      </w:r>
      <w:r w:rsidR="00803DA4">
        <w:t>68.6</w:t>
      </w:r>
      <w:r w:rsidR="008427FF">
        <w:t xml:space="preserve">% of </w:t>
      </w:r>
      <w:r w:rsidR="008427FF" w:rsidRPr="00561004">
        <w:t xml:space="preserve">total </w:t>
      </w:r>
      <w:proofErr w:type="gramStart"/>
      <w:r w:rsidR="008427FF" w:rsidRPr="00561004">
        <w:t>exports</w:t>
      </w:r>
      <w:r w:rsidR="00262D33" w:rsidRPr="00561004">
        <w:t>,</w:t>
      </w:r>
      <w:proofErr w:type="gramEnd"/>
      <w:r w:rsidR="00262D33" w:rsidRPr="00561004">
        <w:t xml:space="preserve"> with </w:t>
      </w:r>
      <w:r w:rsidR="005E0145" w:rsidRPr="00561004">
        <w:t xml:space="preserve">one third </w:t>
      </w:r>
      <w:r w:rsidR="00262D33" w:rsidRPr="00561004">
        <w:t>coming</w:t>
      </w:r>
      <w:r w:rsidR="005E0145" w:rsidRPr="00561004">
        <w:t xml:space="preserve"> from exporters </w:t>
      </w:r>
      <w:r w:rsidR="00262D33" w:rsidRPr="00561004">
        <w:t>that serve</w:t>
      </w:r>
      <w:r w:rsidR="005E0145" w:rsidRPr="00561004">
        <w:t xml:space="preserve"> two to four markets and th</w:t>
      </w:r>
      <w:r w:rsidR="00813833" w:rsidRPr="00561004">
        <w:t xml:space="preserve">e rest </w:t>
      </w:r>
      <w:r w:rsidR="00B30A27" w:rsidRPr="00561004">
        <w:t xml:space="preserve">coming </w:t>
      </w:r>
      <w:r w:rsidR="00813833" w:rsidRPr="00561004">
        <w:t>from</w:t>
      </w:r>
      <w:r w:rsidR="00813833">
        <w:t xml:space="preserve"> exporters that s</w:t>
      </w:r>
      <w:r w:rsidR="00262D33">
        <w:t xml:space="preserve">erve </w:t>
      </w:r>
      <w:r w:rsidR="00813833">
        <w:t xml:space="preserve">more than five </w:t>
      </w:r>
      <w:r w:rsidR="00262D33">
        <w:t>markets</w:t>
      </w:r>
      <w:r w:rsidR="0033460A">
        <w:t xml:space="preserve"> </w:t>
      </w:r>
      <w:r w:rsidR="0033460A" w:rsidRPr="00561004">
        <w:t>(see</w:t>
      </w:r>
      <w:r w:rsidR="0033460A">
        <w:t xml:space="preserve"> </w:t>
      </w:r>
      <w:r w:rsidR="000522C4">
        <w:fldChar w:fldCharType="begin"/>
      </w:r>
      <w:r w:rsidR="0033460A">
        <w:instrText xml:space="preserve"> REF Appendix1 \h </w:instrText>
      </w:r>
      <w:r w:rsidR="000522C4">
        <w:fldChar w:fldCharType="separate"/>
      </w:r>
      <w:r w:rsidR="000610DD" w:rsidRPr="00874E7D">
        <w:t>Appendix 1</w:t>
      </w:r>
      <w:r w:rsidR="000522C4">
        <w:fldChar w:fldCharType="end"/>
      </w:r>
      <w:r w:rsidR="0033460A" w:rsidRPr="00561004">
        <w:t>)</w:t>
      </w:r>
      <w:r w:rsidR="005E0145">
        <w:t>.</w:t>
      </w:r>
      <w:r w:rsidR="00165885">
        <w:t xml:space="preserve"> </w:t>
      </w:r>
      <w:r w:rsidR="00B45C9D">
        <w:t>In contrast, the rest of exporters who represent about 60%</w:t>
      </w:r>
      <w:r w:rsidR="00165885">
        <w:t xml:space="preserve"> of Malian exporters </w:t>
      </w:r>
      <w:r w:rsidR="00B45C9D">
        <w:t>generate</w:t>
      </w:r>
      <w:r w:rsidR="00AC6BFA">
        <w:t xml:space="preserve"> only 8.0</w:t>
      </w:r>
      <w:r w:rsidR="00B45C9D">
        <w:t>%</w:t>
      </w:r>
      <w:r w:rsidR="00165885">
        <w:t xml:space="preserve"> of total </w:t>
      </w:r>
      <w:r w:rsidR="00B45C9D">
        <w:t>exports</w:t>
      </w:r>
      <w:r w:rsidR="00165885">
        <w:t>. The ma</w:t>
      </w:r>
      <w:r w:rsidR="006647E9">
        <w:t>jority of these exporters sell</w:t>
      </w:r>
      <w:r w:rsidR="00165885">
        <w:t xml:space="preserve"> only one product to only one market (i.e. </w:t>
      </w:r>
      <w:r w:rsidR="00B45C9D">
        <w:t>57</w:t>
      </w:r>
      <w:r w:rsidR="00165885">
        <w:t>%),</w:t>
      </w:r>
      <w:r w:rsidR="00B45C9D">
        <w:t xml:space="preserve"> while</w:t>
      </w:r>
      <w:r w:rsidR="00165885">
        <w:t xml:space="preserve"> </w:t>
      </w:r>
      <w:r w:rsidR="00B45C9D">
        <w:t xml:space="preserve">30% </w:t>
      </w:r>
      <w:r w:rsidR="00165885">
        <w:t xml:space="preserve">export </w:t>
      </w:r>
      <w:r w:rsidR="00B45C9D">
        <w:t xml:space="preserve">one product but </w:t>
      </w:r>
      <w:r w:rsidR="00165885">
        <w:t>to various markets</w:t>
      </w:r>
      <w:r w:rsidR="00B45C9D">
        <w:t xml:space="preserve"> </w:t>
      </w:r>
      <w:r w:rsidR="00165885">
        <w:t xml:space="preserve">and </w:t>
      </w:r>
      <w:r w:rsidR="00B45C9D">
        <w:t xml:space="preserve">13% export various products but only to </w:t>
      </w:r>
      <w:r w:rsidR="00165885">
        <w:t xml:space="preserve">one </w:t>
      </w:r>
      <w:r w:rsidR="00B45C9D">
        <w:t>market</w:t>
      </w:r>
      <w:r w:rsidR="00452F1B">
        <w:t xml:space="preserve">. These figures show that at the firm-level exports are also very concentrated within a narrow group of exporters. Most exports come from firms whose export portfolio is well diversified in terms of both products and markets, which is in line with evidence found for other developing and developed countries (see </w:t>
      </w:r>
      <w:r w:rsidR="00452F1B" w:rsidRPr="008A1E33">
        <w:rPr>
          <w:i/>
        </w:rPr>
        <w:t>inter alia</w:t>
      </w:r>
      <w:r w:rsidR="00452F1B">
        <w:t xml:space="preserve"> Amador and </w:t>
      </w:r>
      <w:proofErr w:type="spellStart"/>
      <w:r w:rsidR="00452F1B">
        <w:t>Opromolla</w:t>
      </w:r>
      <w:proofErr w:type="spellEnd"/>
      <w:r w:rsidR="00452F1B">
        <w:t xml:space="preserve">, 2010; Molina et al., 2010; Bernard et al., </w:t>
      </w:r>
      <w:r w:rsidR="00452F1B" w:rsidRPr="006647E9">
        <w:t xml:space="preserve">2007). </w:t>
      </w:r>
      <w:r w:rsidR="00500DEE" w:rsidRPr="006647E9">
        <w:t>This also reflects the heterogeneity among exporters</w:t>
      </w:r>
      <w:r w:rsidR="006647E9" w:rsidRPr="006647E9">
        <w:t xml:space="preserve"> </w:t>
      </w:r>
      <w:r w:rsidR="00F05B28">
        <w:t xml:space="preserve">in terms of </w:t>
      </w:r>
      <w:r w:rsidR="006647E9" w:rsidRPr="006647E9">
        <w:t>productivity</w:t>
      </w:r>
      <w:r w:rsidR="00F05B28">
        <w:t xml:space="preserve"> and their weight in Mali’s trade structure</w:t>
      </w:r>
      <w:r w:rsidR="0039789B">
        <w:t xml:space="preserve">. </w:t>
      </w:r>
      <w:r w:rsidR="00C83543">
        <w:t>Indeed, a</w:t>
      </w:r>
      <w:r w:rsidR="006647E9" w:rsidRPr="006647E9">
        <w:t>ccording to recent trade models</w:t>
      </w:r>
      <w:r w:rsidR="00F05B28">
        <w:t xml:space="preserve">, the number of exported products </w:t>
      </w:r>
      <w:r w:rsidR="003224A6">
        <w:t>and markets is positively correlated with firms’ productivity</w:t>
      </w:r>
      <w:r w:rsidR="000C207F">
        <w:t xml:space="preserve"> (Bernard et al., 2010)</w:t>
      </w:r>
      <w:r w:rsidR="006647E9" w:rsidRPr="006647E9">
        <w:t xml:space="preserve">. </w:t>
      </w:r>
      <w:r w:rsidR="00500DEE" w:rsidRPr="006647E9">
        <w:t xml:space="preserve"> </w:t>
      </w:r>
    </w:p>
    <w:p w:rsidR="00196D2B" w:rsidRDefault="00196D2B" w:rsidP="00196D2B">
      <w:pPr>
        <w:pStyle w:val="Lgende"/>
      </w:pPr>
      <w:bookmarkStart w:id="13" w:name="_Ref305255044"/>
      <w:bookmarkStart w:id="14" w:name="_Ref277854989"/>
      <w:r>
        <w:lastRenderedPageBreak/>
        <w:t xml:space="preserve">Figures </w:t>
      </w:r>
      <w:fldSimple w:instr=" SEQ Figure \* ARABIC ">
        <w:r w:rsidR="000610DD">
          <w:rPr>
            <w:noProof/>
          </w:rPr>
          <w:t>3</w:t>
        </w:r>
      </w:fldSimple>
      <w:r>
        <w:t>a and 3b</w:t>
      </w:r>
      <w:bookmarkEnd w:id="13"/>
    </w:p>
    <w:bookmarkEnd w:id="14"/>
    <w:p w:rsidR="006414FB" w:rsidRDefault="006414FB" w:rsidP="006414FB">
      <w:pPr>
        <w:keepNext w:val="0"/>
        <w:widowControl w:val="0"/>
      </w:pPr>
      <w:r w:rsidRPr="00CE2CA1">
        <w:rPr>
          <w:noProof/>
          <w:lang w:val="fr-CH" w:eastAsia="fr-CH"/>
        </w:rPr>
        <w:drawing>
          <wp:inline distT="0" distB="0" distL="0" distR="0">
            <wp:extent cx="5770245" cy="2100688"/>
            <wp:effectExtent l="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770245" cy="2100688"/>
                    </a:xfrm>
                    <a:prstGeom prst="rect">
                      <a:avLst/>
                    </a:prstGeom>
                    <a:noFill/>
                    <a:ln w="9525">
                      <a:noFill/>
                      <a:miter lim="800000"/>
                      <a:headEnd/>
                      <a:tailEnd/>
                    </a:ln>
                  </pic:spPr>
                </pic:pic>
              </a:graphicData>
            </a:graphic>
          </wp:inline>
        </w:drawing>
      </w:r>
    </w:p>
    <w:p w:rsidR="006414FB" w:rsidRPr="00341069" w:rsidRDefault="006414FB" w:rsidP="006414FB">
      <w:pPr>
        <w:keepNext w:val="0"/>
        <w:widowControl w:val="0"/>
        <w:spacing w:after="60"/>
        <w:rPr>
          <w:rFonts w:ascii="Garamond" w:hAnsi="Garamond"/>
          <w:sz w:val="24"/>
          <w:szCs w:val="24"/>
        </w:rPr>
      </w:pPr>
      <w:r w:rsidRPr="00341069">
        <w:rPr>
          <w:rFonts w:ascii="Garamond" w:hAnsi="Garamond"/>
          <w:b/>
          <w:sz w:val="24"/>
          <w:szCs w:val="24"/>
        </w:rPr>
        <w:t>Exporters’ survival</w:t>
      </w:r>
    </w:p>
    <w:p w:rsidR="006414FB" w:rsidRDefault="006414FB" w:rsidP="006414FB">
      <w:pPr>
        <w:keepNext w:val="0"/>
        <w:widowControl w:val="0"/>
      </w:pPr>
      <w:r>
        <w:t xml:space="preserve">As previously mentioned an important dimension for export diversification is the capacity of exporters to enter new markets, introduce new products and survive. Survival is </w:t>
      </w:r>
      <w:r w:rsidR="00EB0744">
        <w:t xml:space="preserve">a </w:t>
      </w:r>
      <w:r>
        <w:t>key indicator of export perfo</w:t>
      </w:r>
      <w:r w:rsidR="0078163A">
        <w:t xml:space="preserve">rmance as high failure rates (i.e. </w:t>
      </w:r>
      <w:r>
        <w:t>low survival</w:t>
      </w:r>
      <w:r w:rsidR="0078163A">
        <w:t>)</w:t>
      </w:r>
      <w:r>
        <w:t xml:space="preserve"> prevent exports from expanding</w:t>
      </w:r>
      <w:r w:rsidR="00A52035">
        <w:t xml:space="preserve"> and thus </w:t>
      </w:r>
      <w:r>
        <w:t xml:space="preserve">hamper diversification efforts. </w:t>
      </w:r>
      <w:r w:rsidRPr="0004414B">
        <w:t xml:space="preserve">In </w:t>
      </w:r>
      <w:proofErr w:type="spellStart"/>
      <w:r w:rsidRPr="0004414B">
        <w:t>Besedes</w:t>
      </w:r>
      <w:proofErr w:type="spellEnd"/>
      <w:r w:rsidRPr="0004414B">
        <w:t xml:space="preserve"> and </w:t>
      </w:r>
      <w:proofErr w:type="spellStart"/>
      <w:r w:rsidRPr="0004414B">
        <w:t>Prusa</w:t>
      </w:r>
      <w:proofErr w:type="spellEnd"/>
      <w:r w:rsidRPr="0004414B">
        <w:t xml:space="preserve"> (2007), the authors show that </w:t>
      </w:r>
      <w:r>
        <w:t xml:space="preserve">in order </w:t>
      </w:r>
      <w:r w:rsidRPr="0004414B">
        <w:t>to have a significant impact on export growth, trade relationships must survive and expand. The authors characterize export performance along three dimensions: the survival, deepening (i.e. expansion) and entry of trade relationships. Using South Korea and Spain as reference countries,</w:t>
      </w:r>
      <w:r w:rsidRPr="0004414B">
        <w:rPr>
          <w:rStyle w:val="Appelnotedebasdep"/>
        </w:rPr>
        <w:footnoteReference w:id="22"/>
      </w:r>
      <w:r w:rsidRPr="0004414B">
        <w:t xml:space="preserve"> they show that developing countries would have exhibited </w:t>
      </w:r>
      <w:r>
        <w:t>much</w:t>
      </w:r>
      <w:r w:rsidRPr="0004414B">
        <w:t xml:space="preserve"> higher export growth if they had </w:t>
      </w:r>
      <w:r>
        <w:t xml:space="preserve">enjoyed the rates of </w:t>
      </w:r>
      <w:r w:rsidRPr="0004414B">
        <w:t>survival and expansion of South Korea or Spain. Having the same entry rates would have also aff</w:t>
      </w:r>
      <w:r>
        <w:t xml:space="preserve">ected export growth but by less, thus </w:t>
      </w:r>
      <w:r w:rsidRPr="0004414B">
        <w:t>suggest</w:t>
      </w:r>
      <w:r>
        <w:t>ing</w:t>
      </w:r>
      <w:r w:rsidRPr="0004414B">
        <w:t xml:space="preserve"> that the largest effect on export growth can be achieved by improving survival and deepening of trade relationships.</w:t>
      </w:r>
      <w:r>
        <w:t xml:space="preserve"> </w:t>
      </w:r>
      <w:r w:rsidR="00EB0744">
        <w:t>In order to characterize</w:t>
      </w:r>
      <w:r>
        <w:t xml:space="preserve"> </w:t>
      </w:r>
      <w:r w:rsidR="00EB0744">
        <w:t xml:space="preserve">the survival </w:t>
      </w:r>
      <w:r>
        <w:t>pa</w:t>
      </w:r>
      <w:r w:rsidR="00EB0744">
        <w:t xml:space="preserve">tterns of Malian exporters, we </w:t>
      </w:r>
      <w:r>
        <w:t>distinguish among existing exporters, new exporters and exporters that exit the market.</w:t>
      </w:r>
      <w:r w:rsidRPr="008E3DB6">
        <w:t xml:space="preserve"> </w:t>
      </w:r>
      <w:r>
        <w:t>We defined existing exporters as</w:t>
      </w:r>
      <w:r w:rsidRPr="0024452C">
        <w:t xml:space="preserve"> those that export</w:t>
      </w:r>
      <w:r>
        <w:t>ed</w:t>
      </w:r>
      <w:r w:rsidRPr="0024452C">
        <w:t xml:space="preserve"> in </w:t>
      </w:r>
      <w:r w:rsidRPr="00BB1C9B">
        <w:rPr>
          <w:i/>
        </w:rPr>
        <w:t>t-1</w:t>
      </w:r>
      <w:r w:rsidRPr="0024452C">
        <w:t xml:space="preserve"> and in </w:t>
      </w:r>
      <w:r w:rsidRPr="00BB1C9B">
        <w:rPr>
          <w:i/>
        </w:rPr>
        <w:t>t</w:t>
      </w:r>
      <w:r w:rsidRPr="0024452C">
        <w:t>.</w:t>
      </w:r>
      <w:r>
        <w:t xml:space="preserve"> New e</w:t>
      </w:r>
      <w:r w:rsidR="0078163A">
        <w:t>xporters are firms</w:t>
      </w:r>
      <w:r>
        <w:t xml:space="preserve"> that</w:t>
      </w:r>
      <w:r w:rsidRPr="0024452C">
        <w:t xml:space="preserve"> export</w:t>
      </w:r>
      <w:r w:rsidR="001716ED">
        <w:t>ed</w:t>
      </w:r>
      <w:r w:rsidRPr="0024452C">
        <w:t xml:space="preserve"> in</w:t>
      </w:r>
      <w:r w:rsidRPr="0008607E">
        <w:rPr>
          <w:i/>
        </w:rPr>
        <w:t xml:space="preserve"> t</w:t>
      </w:r>
      <w:r w:rsidRPr="0024452C">
        <w:t xml:space="preserve"> but </w:t>
      </w:r>
      <w:r>
        <w:t xml:space="preserve">not </w:t>
      </w:r>
      <w:r w:rsidRPr="0024452C">
        <w:t xml:space="preserve">in </w:t>
      </w:r>
      <w:r w:rsidRPr="0008607E">
        <w:rPr>
          <w:i/>
        </w:rPr>
        <w:t>t-1</w:t>
      </w:r>
      <w:r w:rsidR="001716ED">
        <w:t xml:space="preserve">, while exiting exporters are those that exported in </w:t>
      </w:r>
      <w:r w:rsidR="001716ED" w:rsidRPr="001716ED">
        <w:rPr>
          <w:i/>
        </w:rPr>
        <w:t>t-1</w:t>
      </w:r>
      <w:r w:rsidR="001716ED">
        <w:t xml:space="preserve">, but not in </w:t>
      </w:r>
      <w:r w:rsidR="001716ED" w:rsidRPr="001716ED">
        <w:rPr>
          <w:i/>
        </w:rPr>
        <w:t>t</w:t>
      </w:r>
      <w:r>
        <w:t>.</w:t>
      </w:r>
      <w:r w:rsidRPr="0024452C">
        <w:t xml:space="preserve"> </w:t>
      </w:r>
    </w:p>
    <w:p w:rsidR="00196D2B" w:rsidRDefault="00196D2B" w:rsidP="00196D2B">
      <w:pPr>
        <w:pStyle w:val="Lgende"/>
      </w:pPr>
      <w:bookmarkStart w:id="15" w:name="_Ref305255150"/>
      <w:r>
        <w:t xml:space="preserve">Figure </w:t>
      </w:r>
      <w:fldSimple w:instr=" SEQ Figure \* ARABIC ">
        <w:r w:rsidR="000610DD">
          <w:rPr>
            <w:noProof/>
          </w:rPr>
          <w:t>4</w:t>
        </w:r>
      </w:fldSimple>
      <w:bookmarkEnd w:id="15"/>
    </w:p>
    <w:p w:rsidR="006414FB" w:rsidRDefault="006414FB" w:rsidP="00AA187F">
      <w:pPr>
        <w:jc w:val="center"/>
      </w:pPr>
      <w:r w:rsidRPr="005F7FBF">
        <w:rPr>
          <w:noProof/>
          <w:lang w:val="fr-CH" w:eastAsia="fr-CH"/>
        </w:rPr>
        <w:drawing>
          <wp:inline distT="0" distB="0" distL="0" distR="0">
            <wp:extent cx="2916000" cy="21348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916000" cy="2134800"/>
                    </a:xfrm>
                    <a:prstGeom prst="rect">
                      <a:avLst/>
                    </a:prstGeom>
                    <a:noFill/>
                    <a:ln w="9525">
                      <a:noFill/>
                      <a:miter lim="800000"/>
                      <a:headEnd/>
                      <a:tailEnd/>
                    </a:ln>
                  </pic:spPr>
                </pic:pic>
              </a:graphicData>
            </a:graphic>
          </wp:inline>
        </w:drawing>
      </w:r>
    </w:p>
    <w:p w:rsidR="00604CB2" w:rsidRDefault="006414FB" w:rsidP="00AA187F">
      <w:r w:rsidRPr="00327A67">
        <w:t>For the period 2006-2008, existing exporters accounted for some 60% of the total number of exporters and generate almost all exports in each year (see</w:t>
      </w:r>
      <w:r w:rsidR="00F63082" w:rsidRPr="00327A67">
        <w:t xml:space="preserve"> </w:t>
      </w:r>
      <w:fldSimple w:instr=" REF Appendix2 \h  \* MERGEFORMAT ">
        <w:r w:rsidR="000610DD" w:rsidRPr="00327A67">
          <w:t>Appendix 2</w:t>
        </w:r>
      </w:fldSimple>
      <w:r w:rsidR="00343ACE" w:rsidRPr="00327A67">
        <w:t xml:space="preserve">). The data </w:t>
      </w:r>
      <w:r w:rsidR="00196D2B" w:rsidRPr="00327A67">
        <w:t>(</w:t>
      </w:r>
      <w:fldSimple w:instr=" REF _Ref305255150 \h  \* MERGEFORMAT ">
        <w:r w:rsidR="000610DD" w:rsidRPr="00327A67">
          <w:t xml:space="preserve">Figure </w:t>
        </w:r>
        <w:r w:rsidR="000610DD" w:rsidRPr="00327A67">
          <w:rPr>
            <w:noProof/>
          </w:rPr>
          <w:t>4</w:t>
        </w:r>
      </w:fldSimple>
      <w:r w:rsidR="00196D2B" w:rsidRPr="00327A67">
        <w:t xml:space="preserve">) </w:t>
      </w:r>
      <w:r w:rsidR="00343ACE" w:rsidRPr="00327A67">
        <w:t>also show</w:t>
      </w:r>
      <w:r w:rsidRPr="00327A67">
        <w:t xml:space="preserve"> t</w:t>
      </w:r>
      <w:r w:rsidR="00EB4346" w:rsidRPr="00327A67">
        <w:t xml:space="preserve">hat </w:t>
      </w:r>
      <w:r w:rsidR="00EB4346" w:rsidRPr="00327A67">
        <w:lastRenderedPageBreak/>
        <w:t>between 2005 and 2008</w:t>
      </w:r>
      <w:r w:rsidRPr="00327A67">
        <w:t>, there were on average 134 new exporters each year (i.e. firms that export in period</w:t>
      </w:r>
      <w:r w:rsidRPr="00327A67">
        <w:rPr>
          <w:i/>
        </w:rPr>
        <w:t xml:space="preserve"> t</w:t>
      </w:r>
      <w:r w:rsidRPr="00327A67">
        <w:t xml:space="preserve">, but that did not in </w:t>
      </w:r>
      <w:r w:rsidRPr="00327A67">
        <w:rPr>
          <w:i/>
        </w:rPr>
        <w:t>t-1</w:t>
      </w:r>
      <w:r w:rsidRPr="00327A67">
        <w:t xml:space="preserve">), although </w:t>
      </w:r>
      <w:r w:rsidR="00604CB2" w:rsidRPr="00327A67">
        <w:t xml:space="preserve">about </w:t>
      </w:r>
      <w:r w:rsidRPr="00327A67">
        <w:t>half of them stopped exporting after one year</w:t>
      </w:r>
      <w:r w:rsidR="00604CB2" w:rsidRPr="00327A67">
        <w:t xml:space="preserve"> (i.e. failure rate was 54.2%)</w:t>
      </w:r>
      <w:r w:rsidRPr="00327A67">
        <w:t>.</w:t>
      </w:r>
      <w:r w:rsidR="00604CB2" w:rsidRPr="00327A67">
        <w:rPr>
          <w:rStyle w:val="Appelnotedebasdep"/>
        </w:rPr>
        <w:footnoteReference w:id="23"/>
      </w:r>
      <w:r w:rsidR="00C15BD9" w:rsidRPr="00327A67">
        <w:t xml:space="preserve"> </w:t>
      </w:r>
      <w:r w:rsidR="008F0B08" w:rsidRPr="00327A67">
        <w:t>Moreover</w:t>
      </w:r>
      <w:r w:rsidR="00604CB2" w:rsidRPr="00327A67">
        <w:t xml:space="preserve"> among the 121 new exporters in 2006, only 33 (27%) exported</w:t>
      </w:r>
      <w:r w:rsidR="00604CB2">
        <w:t xml:space="preserve"> for at least three consecutive years.</w:t>
      </w:r>
      <w:r w:rsidR="00604CB2" w:rsidRPr="0024452C">
        <w:t xml:space="preserve"> </w:t>
      </w:r>
      <w:r w:rsidR="00604CB2">
        <w:t xml:space="preserve"> These figures show that there is lot of trial and</w:t>
      </w:r>
      <w:r w:rsidR="00604CB2" w:rsidRPr="0024452C">
        <w:t xml:space="preserve"> churning (i.e. e</w:t>
      </w:r>
      <w:r w:rsidR="00604CB2">
        <w:t>ntry and exit) among exporters but that their survival</w:t>
      </w:r>
      <w:r w:rsidR="00604CB2" w:rsidRPr="0024452C">
        <w:t xml:space="preserve"> is very limited</w:t>
      </w:r>
      <w:r w:rsidR="00604CB2">
        <w:t>.</w:t>
      </w:r>
      <w:r w:rsidR="00604CB2">
        <w:rPr>
          <w:rStyle w:val="Appelnotedebasdep"/>
        </w:rPr>
        <w:footnoteReference w:id="24"/>
      </w:r>
      <w:r w:rsidR="00604CB2">
        <w:t xml:space="preserve"> Low survival among exporters has been well documented for developed and developing countries (see </w:t>
      </w:r>
      <w:r w:rsidR="00604CB2" w:rsidRPr="0046323A">
        <w:rPr>
          <w:i/>
        </w:rPr>
        <w:t>inter alia</w:t>
      </w:r>
      <w:r w:rsidR="00604CB2">
        <w:t xml:space="preserve"> </w:t>
      </w:r>
      <w:r w:rsidR="00604CB2">
        <w:rPr>
          <w:rFonts w:eastAsia="Times New Roman"/>
        </w:rPr>
        <w:t xml:space="preserve">Eaton et al., </w:t>
      </w:r>
      <w:r w:rsidR="00604CB2" w:rsidRPr="0024452C">
        <w:rPr>
          <w:rFonts w:eastAsia="Times New Roman"/>
        </w:rPr>
        <w:t>2007</w:t>
      </w:r>
      <w:r w:rsidR="00604CB2">
        <w:rPr>
          <w:rFonts w:eastAsia="Times New Roman"/>
        </w:rPr>
        <w:t xml:space="preserve">, </w:t>
      </w:r>
      <w:proofErr w:type="spellStart"/>
      <w:r w:rsidR="00604CB2" w:rsidRPr="0024452C">
        <w:rPr>
          <w:rFonts w:eastAsia="Times New Roman"/>
        </w:rPr>
        <w:t>Cadot</w:t>
      </w:r>
      <w:proofErr w:type="spellEnd"/>
      <w:r w:rsidR="00604CB2" w:rsidRPr="0024452C">
        <w:rPr>
          <w:rFonts w:eastAsia="Times New Roman"/>
        </w:rPr>
        <w:t xml:space="preserve"> et </w:t>
      </w:r>
      <w:r w:rsidR="00604CB2">
        <w:rPr>
          <w:rFonts w:eastAsia="Times New Roman"/>
        </w:rPr>
        <w:t xml:space="preserve">al., </w:t>
      </w:r>
      <w:r w:rsidR="00604CB2" w:rsidRPr="0024452C">
        <w:rPr>
          <w:rFonts w:eastAsia="Times New Roman"/>
        </w:rPr>
        <w:t>2010</w:t>
      </w:r>
      <w:r w:rsidR="00604CB2">
        <w:rPr>
          <w:rFonts w:eastAsia="Times New Roman"/>
        </w:rPr>
        <w:t>)</w:t>
      </w:r>
      <w:r w:rsidR="003F6CDB">
        <w:t xml:space="preserve">; and </w:t>
      </w:r>
      <w:r w:rsidR="00604CB2">
        <w:t xml:space="preserve">Malian exporters are no exception. </w:t>
      </w:r>
      <w:r w:rsidR="00604CB2" w:rsidRPr="00BF5600">
        <w:t>According</w:t>
      </w:r>
      <w:r w:rsidR="00604CB2">
        <w:t xml:space="preserve"> to donors’ officials and Malian exporters, reasons for failure in Mali, especially in the agricultural sector, include poor knowledge of the exporting activity, lack of professionalism, strong competition and payment default.</w:t>
      </w:r>
      <w:r w:rsidR="00604CB2">
        <w:rPr>
          <w:rStyle w:val="Appelnotedebasdep"/>
        </w:rPr>
        <w:footnoteReference w:id="25"/>
      </w:r>
    </w:p>
    <w:p w:rsidR="006414FB" w:rsidRPr="00C66BD6" w:rsidRDefault="006414FB" w:rsidP="00AA187F">
      <w:r w:rsidRPr="00F2262E">
        <w:t xml:space="preserve">We </w:t>
      </w:r>
      <w:r w:rsidR="006D209C">
        <w:t xml:space="preserve">also </w:t>
      </w:r>
      <w:r w:rsidRPr="00F2262E">
        <w:t>characterized ex</w:t>
      </w:r>
      <w:r w:rsidR="00CB3D80">
        <w:t>porter-product, exporter-market</w:t>
      </w:r>
      <w:r w:rsidRPr="00F2262E">
        <w:t xml:space="preserve"> and exporter-product-market combinations (i.e. relationships) in a similar way and found that the churning is amplified </w:t>
      </w:r>
      <w:r w:rsidRPr="005650AA">
        <w:t>(see</w:t>
      </w:r>
      <w:r w:rsidR="005650AA">
        <w:t xml:space="preserve"> </w:t>
      </w:r>
      <w:fldSimple w:instr=" REF Appendix3 \h  \* MERGEFORMAT ">
        <w:r w:rsidR="000610DD" w:rsidRPr="00651043">
          <w:t xml:space="preserve">Appendix </w:t>
        </w:r>
        <w:r w:rsidR="000610DD">
          <w:t>3</w:t>
        </w:r>
      </w:fldSimple>
      <w:r w:rsidRPr="005650AA">
        <w:t>).</w:t>
      </w:r>
      <w:r w:rsidRPr="007C2E66">
        <w:t xml:space="preserve">  In each</w:t>
      </w:r>
      <w:r w:rsidRPr="00F2262E">
        <w:t xml:space="preserve"> case, new relationships (i.e. new export</w:t>
      </w:r>
      <w:r w:rsidR="0052564F">
        <w:t>er-product, new exporter-market</w:t>
      </w:r>
      <w:r w:rsidRPr="00F2262E">
        <w:t xml:space="preserve"> and new exporter-product-market combinations) accounted for the majority of the total number of trade relationships in each year. As for the number of exits, </w:t>
      </w:r>
      <w:r w:rsidR="00341737">
        <w:t xml:space="preserve">it </w:t>
      </w:r>
      <w:r w:rsidRPr="00F2262E">
        <w:t>was almost as high as the number of new entries</w:t>
      </w:r>
      <w:r w:rsidR="00341737">
        <w:t xml:space="preserve"> </w:t>
      </w:r>
      <w:r w:rsidR="00341737" w:rsidRPr="00F2262E">
        <w:t xml:space="preserve">in </w:t>
      </w:r>
      <w:r w:rsidR="00341737">
        <w:t xml:space="preserve">almost </w:t>
      </w:r>
      <w:r w:rsidR="00A30790">
        <w:t>all years</w:t>
      </w:r>
      <w:r w:rsidRPr="00F2262E">
        <w:t>.</w:t>
      </w:r>
      <w:r w:rsidR="00CB1FAA">
        <w:t xml:space="preserve"> For </w:t>
      </w:r>
      <w:r w:rsidR="00CB1FAA" w:rsidRPr="003E4616">
        <w:t xml:space="preserve">instance, </w:t>
      </w:r>
      <w:r w:rsidR="00604CB2" w:rsidRPr="003E4616">
        <w:t xml:space="preserve">there were on average </w:t>
      </w:r>
      <w:r w:rsidR="00DE2AB7" w:rsidRPr="003E4616">
        <w:t>1'</w:t>
      </w:r>
      <w:r w:rsidRPr="003E4616">
        <w:t>234 new firm-product-market combinations</w:t>
      </w:r>
      <w:r w:rsidR="00C91AAA" w:rsidRPr="003E4616">
        <w:t xml:space="preserve"> in each year</w:t>
      </w:r>
      <w:r w:rsidRPr="003E4616">
        <w:t xml:space="preserve">: </w:t>
      </w:r>
      <w:r w:rsidR="00604CB2" w:rsidRPr="003E4616">
        <w:t>among which 82% failed after one</w:t>
      </w:r>
      <w:r w:rsidR="0052564F" w:rsidRPr="003E4616">
        <w:t xml:space="preserve"> year and only 9% lasted for three</w:t>
      </w:r>
      <w:r w:rsidRPr="003E4616">
        <w:t xml:space="preserve"> years. </w:t>
      </w:r>
      <w:r w:rsidR="003E4616" w:rsidRPr="003E4616">
        <w:t>Due to the high degree of churning, the effect of</w:t>
      </w:r>
      <w:r w:rsidR="00CA1411" w:rsidRPr="003E4616">
        <w:t xml:space="preserve"> product</w:t>
      </w:r>
      <w:r w:rsidR="00C66BD6">
        <w:t xml:space="preserve">s and markets’ exits </w:t>
      </w:r>
      <w:r w:rsidR="00294594">
        <w:t xml:space="preserve">is likely to </w:t>
      </w:r>
      <w:r w:rsidR="009E79A4">
        <w:t xml:space="preserve">offset </w:t>
      </w:r>
      <w:r w:rsidR="00C66BD6">
        <w:t>the effect of new products and markets on diversification.</w:t>
      </w:r>
      <w:r w:rsidR="00013973" w:rsidRPr="003E4616">
        <w:t xml:space="preserve"> </w:t>
      </w:r>
      <w:r w:rsidR="00731E79" w:rsidRPr="003E4616">
        <w:t xml:space="preserve"> </w:t>
      </w:r>
    </w:p>
    <w:p w:rsidR="006B076C" w:rsidRDefault="006414FB" w:rsidP="006B076C">
      <w:pPr>
        <w:keepNext w:val="0"/>
        <w:widowControl w:val="0"/>
      </w:pPr>
      <w:r w:rsidRPr="00D0738C">
        <w:t>To summarize, we found that (</w:t>
      </w:r>
      <w:proofErr w:type="spellStart"/>
      <w:r w:rsidRPr="00D0738C">
        <w:t>i</w:t>
      </w:r>
      <w:proofErr w:type="spellEnd"/>
      <w:r w:rsidRPr="00D0738C">
        <w:t xml:space="preserve">) despite an increase in the number of products and exporters, Mali remains highly concentrated; (ii) the majority of exports </w:t>
      </w:r>
      <w:r w:rsidR="002C754A" w:rsidRPr="00D0738C">
        <w:t xml:space="preserve">in each year </w:t>
      </w:r>
      <w:r w:rsidRPr="00D0738C">
        <w:t xml:space="preserve">are generated by </w:t>
      </w:r>
      <w:r w:rsidR="0074130B" w:rsidRPr="00D0738C">
        <w:t xml:space="preserve">a narrow group of exporters (i.e. about 40% of total exporters) </w:t>
      </w:r>
      <w:r w:rsidRPr="00D0738C">
        <w:t>whose export portf</w:t>
      </w:r>
      <w:r w:rsidR="004A271C" w:rsidRPr="00D0738C">
        <w:t xml:space="preserve">olio is highly diversified; </w:t>
      </w:r>
      <w:r w:rsidRPr="00D0738C">
        <w:t xml:space="preserve">(iii) failure rate among Malian exporters </w:t>
      </w:r>
      <w:r w:rsidR="0074130B" w:rsidRPr="00D0738C">
        <w:t>is high: o</w:t>
      </w:r>
      <w:r w:rsidRPr="00D0738C">
        <w:t>ne in two exporters exits</w:t>
      </w:r>
      <w:r w:rsidR="004A271C" w:rsidRPr="00D0738C">
        <w:t xml:space="preserve"> the market after one year; and </w:t>
      </w:r>
      <w:r w:rsidR="008D2230" w:rsidRPr="00D0738C">
        <w:t xml:space="preserve">(iv) </w:t>
      </w:r>
      <w:r w:rsidR="004A271C" w:rsidRPr="00D0738C">
        <w:t xml:space="preserve">that churning </w:t>
      </w:r>
      <w:r w:rsidR="0074130B" w:rsidRPr="00D0738C">
        <w:t>is important at all levels</w:t>
      </w:r>
      <w:r w:rsidR="00FB2612" w:rsidRPr="00D0738C">
        <w:t xml:space="preserve"> (i.e. exporter, exporter-product, exporter-market, exporter-product-market level)</w:t>
      </w:r>
      <w:r w:rsidR="004A271C" w:rsidRPr="00D0738C">
        <w:t>.</w:t>
      </w:r>
      <w:r w:rsidR="0006271C" w:rsidRPr="00D0738C">
        <w:t xml:space="preserve"> </w:t>
      </w:r>
      <w:r w:rsidR="003D7328" w:rsidRPr="00D0738C">
        <w:t xml:space="preserve">This </w:t>
      </w:r>
      <w:r w:rsidR="003D7328" w:rsidRPr="00C66BD6">
        <w:t xml:space="preserve">last point is crucial as the high number of </w:t>
      </w:r>
      <w:r w:rsidR="00CC2E8C" w:rsidRPr="00C66BD6">
        <w:t>new entries</w:t>
      </w:r>
      <w:r w:rsidR="00FB2612" w:rsidRPr="00C66BD6">
        <w:t xml:space="preserve"> </w:t>
      </w:r>
      <w:r w:rsidR="00CA77F8" w:rsidRPr="00C66BD6">
        <w:t xml:space="preserve">but also of exits </w:t>
      </w:r>
      <w:r w:rsidR="00FB2612" w:rsidRPr="00C66BD6">
        <w:t>at the exporter, exporter-product and exporter-market level</w:t>
      </w:r>
      <w:r w:rsidR="003D7328" w:rsidRPr="00C66BD6">
        <w:t xml:space="preserve">, </w:t>
      </w:r>
      <w:r w:rsidR="001E789B" w:rsidRPr="00C66BD6">
        <w:t xml:space="preserve">could </w:t>
      </w:r>
      <w:r w:rsidR="003D7328" w:rsidRPr="00C66BD6">
        <w:t xml:space="preserve">in part </w:t>
      </w:r>
      <w:r w:rsidR="001E789B" w:rsidRPr="00C66BD6">
        <w:t xml:space="preserve">explain the </w:t>
      </w:r>
      <w:r w:rsidR="00CC2E8C" w:rsidRPr="00C66BD6">
        <w:t xml:space="preserve">net effects </w:t>
      </w:r>
      <w:r w:rsidR="009748F6" w:rsidRPr="00C66BD6">
        <w:t>observed</w:t>
      </w:r>
      <w:r w:rsidR="00FB2612" w:rsidRPr="00C66BD6">
        <w:t xml:space="preserve"> </w:t>
      </w:r>
      <w:r w:rsidR="00CC2E8C" w:rsidRPr="00C66BD6">
        <w:t>at the aggregate-level.</w:t>
      </w:r>
      <w:r w:rsidR="004B3205">
        <w:t xml:space="preserve"> By i</w:t>
      </w:r>
      <w:r w:rsidR="004B3205" w:rsidRPr="00C66BD6">
        <w:t>mproving survival rates</w:t>
      </w:r>
      <w:r w:rsidR="004B3205">
        <w:t>, new products and markets could have a greater effect on diversification</w:t>
      </w:r>
      <w:r w:rsidR="004B3205" w:rsidRPr="00C66BD6">
        <w:t xml:space="preserve">. </w:t>
      </w:r>
      <w:r w:rsidR="006E2738">
        <w:t>Indeed, c</w:t>
      </w:r>
      <w:r w:rsidR="009748F6" w:rsidRPr="00C66BD6">
        <w:t>onditional on their surviva</w:t>
      </w:r>
      <w:r w:rsidR="00F702C9" w:rsidRPr="00C66BD6">
        <w:t>l, exporters can</w:t>
      </w:r>
      <w:r w:rsidR="00E0604F" w:rsidRPr="00C66BD6">
        <w:t xml:space="preserve"> develop, </w:t>
      </w:r>
      <w:r w:rsidR="00F702C9" w:rsidRPr="00C66BD6">
        <w:t xml:space="preserve">grow </w:t>
      </w:r>
      <w:r w:rsidR="00E0604F" w:rsidRPr="00C66BD6">
        <w:t xml:space="preserve">and ultimately </w:t>
      </w:r>
      <w:r w:rsidR="00F702C9" w:rsidRPr="00C66BD6">
        <w:t>contribute</w:t>
      </w:r>
      <w:r w:rsidR="00E0604F" w:rsidRPr="00C66BD6">
        <w:t xml:space="preserve"> to rebalance</w:t>
      </w:r>
      <w:r w:rsidR="009748F6" w:rsidRPr="00C66BD6">
        <w:t xml:space="preserve"> </w:t>
      </w:r>
      <w:r w:rsidR="00E0604F" w:rsidRPr="00C66BD6">
        <w:t>Mali’s export portfolio by operating</w:t>
      </w:r>
      <w:r w:rsidR="009748F6" w:rsidRPr="00C66BD6">
        <w:t xml:space="preserve"> in </w:t>
      </w:r>
      <w:r w:rsidR="00C5158D" w:rsidRPr="00C66BD6">
        <w:t xml:space="preserve">new </w:t>
      </w:r>
      <w:r w:rsidR="00AC020A" w:rsidRPr="00C66BD6">
        <w:t>markets</w:t>
      </w:r>
      <w:r w:rsidR="00F702C9" w:rsidRPr="00C66BD6">
        <w:t xml:space="preserve">, new </w:t>
      </w:r>
      <w:r w:rsidR="00AC020A" w:rsidRPr="00C66BD6">
        <w:t xml:space="preserve">products </w:t>
      </w:r>
      <w:r w:rsidR="00C5158D" w:rsidRPr="00C66BD6">
        <w:t xml:space="preserve">or </w:t>
      </w:r>
      <w:r w:rsidR="00AC020A" w:rsidRPr="00C66BD6">
        <w:t xml:space="preserve">in </w:t>
      </w:r>
      <w:r w:rsidR="009748F6" w:rsidRPr="00C66BD6">
        <w:t>non-traditional export</w:t>
      </w:r>
      <w:r w:rsidR="00AC020A" w:rsidRPr="00C66BD6">
        <w:t>ing</w:t>
      </w:r>
      <w:r w:rsidR="00C5158D" w:rsidRPr="00C66BD6">
        <w:t xml:space="preserve"> sectors.</w:t>
      </w:r>
      <w:r w:rsidR="00C66BD6" w:rsidRPr="00C66BD6">
        <w:t xml:space="preserve"> </w:t>
      </w:r>
      <w:r w:rsidR="009748F6">
        <w:t xml:space="preserve"> </w:t>
      </w:r>
    </w:p>
    <w:p w:rsidR="006B076C" w:rsidRDefault="00A23FAB" w:rsidP="006B076C">
      <w:pPr>
        <w:pStyle w:val="Style1"/>
        <w:ind w:left="357" w:hanging="357"/>
      </w:pPr>
      <w:bookmarkStart w:id="16" w:name="_Toc303332494"/>
      <w:bookmarkStart w:id="17" w:name="_Toc305445911"/>
      <w:r>
        <w:t xml:space="preserve">Export </w:t>
      </w:r>
      <w:r w:rsidR="00307507">
        <w:t>d</w:t>
      </w:r>
      <w:r w:rsidR="00FA6997">
        <w:t>iversification</w:t>
      </w:r>
      <w:bookmarkEnd w:id="16"/>
      <w:r w:rsidR="00307507">
        <w:t xml:space="preserve">: </w:t>
      </w:r>
      <w:r w:rsidR="003C418C">
        <w:t>aggregate</w:t>
      </w:r>
      <w:r w:rsidR="00AF4DD9">
        <w:t>-level</w:t>
      </w:r>
      <w:r w:rsidR="003C418C">
        <w:t xml:space="preserve"> dynamics</w:t>
      </w:r>
      <w:bookmarkEnd w:id="17"/>
      <w:r w:rsidR="003C418C">
        <w:t xml:space="preserve"> </w:t>
      </w:r>
    </w:p>
    <w:p w:rsidR="006B076C" w:rsidRPr="008B1669" w:rsidRDefault="00F1313E" w:rsidP="006B076C">
      <w:pPr>
        <w:keepNext w:val="0"/>
        <w:widowControl w:val="0"/>
      </w:pPr>
      <w:r>
        <w:t>T</w:t>
      </w:r>
      <w:r w:rsidR="006B076C">
        <w:t xml:space="preserve">o </w:t>
      </w:r>
      <w:r w:rsidR="00B50944">
        <w:t xml:space="preserve">get a better understanding of the linkages between firm- and aggregate-level dynamics, we analyze Mali’s patterns </w:t>
      </w:r>
      <w:r>
        <w:t xml:space="preserve">and channels </w:t>
      </w:r>
      <w:r w:rsidR="00B50944">
        <w:t>of diversification.</w:t>
      </w:r>
      <w:r w:rsidR="00B24BAE">
        <w:t xml:space="preserve"> W</w:t>
      </w:r>
      <w:r w:rsidR="006B076C">
        <w:t xml:space="preserve">e </w:t>
      </w:r>
      <w:r w:rsidR="00D84A35">
        <w:t xml:space="preserve">start by </w:t>
      </w:r>
      <w:r w:rsidR="00B24BAE">
        <w:t>decompos</w:t>
      </w:r>
      <w:r w:rsidR="00D84A35">
        <w:t>ing</w:t>
      </w:r>
      <w:r w:rsidR="006B076C" w:rsidRPr="00944A67">
        <w:t xml:space="preserve"> trade for any given year into two components: an intensive margin and an extensive </w:t>
      </w:r>
      <w:r w:rsidR="00196D2B">
        <w:t>margin</w:t>
      </w:r>
      <w:r w:rsidR="005D4218">
        <w:t>. We</w:t>
      </w:r>
      <w:r w:rsidR="00196D2B">
        <w:t xml:space="preserve"> </w:t>
      </w:r>
      <w:r w:rsidR="00623445">
        <w:t>then examine each margin</w:t>
      </w:r>
      <w:r w:rsidR="00F64884">
        <w:t xml:space="preserve">. </w:t>
      </w:r>
      <w:r w:rsidR="005D7519">
        <w:t xml:space="preserve">Such decomposition can bring valuable insights as both margins </w:t>
      </w:r>
      <w:r w:rsidR="00D84A35">
        <w:t>can be important sources</w:t>
      </w:r>
      <w:r w:rsidR="005D7519" w:rsidRPr="00B6638E">
        <w:t xml:space="preserve"> </w:t>
      </w:r>
      <w:r w:rsidR="00D84A35">
        <w:t>of</w:t>
      </w:r>
      <w:r w:rsidR="005D7519">
        <w:t xml:space="preserve"> export growth </w:t>
      </w:r>
      <w:r w:rsidR="005D4218">
        <w:t xml:space="preserve">and </w:t>
      </w:r>
      <w:r w:rsidR="005D7519">
        <w:t>diversifica</w:t>
      </w:r>
      <w:r w:rsidR="005D7519" w:rsidRPr="00B6638E">
        <w:t>tion</w:t>
      </w:r>
      <w:r w:rsidR="005D7519">
        <w:t>.</w:t>
      </w:r>
      <w:r w:rsidR="00623445">
        <w:t xml:space="preserve"> </w:t>
      </w:r>
      <w:r w:rsidR="006B076C" w:rsidRPr="00944A67">
        <w:t xml:space="preserve">The intensive margin refers to </w:t>
      </w:r>
      <w:r w:rsidR="00DA3893">
        <w:t xml:space="preserve">the set of existing trade relationships – (i.e. existing product- market combinations), which are defined as relationships that that existed in </w:t>
      </w:r>
      <w:r w:rsidR="00DA3893" w:rsidRPr="00C147C1">
        <w:rPr>
          <w:i/>
        </w:rPr>
        <w:t>t</w:t>
      </w:r>
      <w:r w:rsidR="00DA3893">
        <w:t xml:space="preserve"> and </w:t>
      </w:r>
      <w:r w:rsidR="00DA3893" w:rsidRPr="00C147C1">
        <w:rPr>
          <w:i/>
        </w:rPr>
        <w:t>t-1</w:t>
      </w:r>
      <w:r w:rsidR="006B076C" w:rsidRPr="00944A67">
        <w:t>.</w:t>
      </w:r>
      <w:r w:rsidR="00DA3893">
        <w:t xml:space="preserve"> As </w:t>
      </w:r>
      <w:r w:rsidR="006B076C" w:rsidRPr="00944A67">
        <w:t xml:space="preserve">for the extensive margin, it refers </w:t>
      </w:r>
      <w:r w:rsidR="00DA3893">
        <w:t xml:space="preserve">to the set of new trade relationships (i.e. new product-market </w:t>
      </w:r>
      <w:r w:rsidR="00DA3893">
        <w:lastRenderedPageBreak/>
        <w:t>combinations)</w:t>
      </w:r>
      <w:r w:rsidR="00DA3893" w:rsidRPr="00DA3893">
        <w:t>.</w:t>
      </w:r>
      <w:r w:rsidR="00C90E4E" w:rsidRPr="00C90E4E">
        <w:rPr>
          <w:rStyle w:val="Appelnotedebasdep"/>
          <w:rFonts w:cs="Times New Roman"/>
        </w:rPr>
        <w:t xml:space="preserve"> </w:t>
      </w:r>
      <w:r w:rsidR="00C90E4E">
        <w:t>New relationships are those that</w:t>
      </w:r>
      <w:r w:rsidR="00C90E4E" w:rsidRPr="00DA3893">
        <w:t xml:space="preserve"> existed in </w:t>
      </w:r>
      <w:r w:rsidR="00C90E4E" w:rsidRPr="00DA3893">
        <w:rPr>
          <w:i/>
        </w:rPr>
        <w:t>t</w:t>
      </w:r>
      <w:r w:rsidR="00C90E4E" w:rsidRPr="00DA3893">
        <w:t xml:space="preserve"> but not in </w:t>
      </w:r>
      <w:r w:rsidR="00C90E4E" w:rsidRPr="00DA3893">
        <w:rPr>
          <w:i/>
        </w:rPr>
        <w:t>t-1</w:t>
      </w:r>
      <w:r w:rsidR="00C90E4E">
        <w:rPr>
          <w:i/>
        </w:rPr>
        <w:t xml:space="preserve"> </w:t>
      </w:r>
      <w:r w:rsidR="00C90E4E" w:rsidRPr="00C90E4E">
        <w:t>and c</w:t>
      </w:r>
      <w:r w:rsidR="00C90E4E">
        <w:t xml:space="preserve">onsist of the </w:t>
      </w:r>
      <w:r w:rsidR="006B076C" w:rsidRPr="00944A67">
        <w:t>exports of new products (i.e. product diversification), to new markets (i.e. market diversification), or both (i.e. product and market diversification).</w:t>
      </w:r>
      <w:r w:rsidR="007052DD" w:rsidRPr="007052DD">
        <w:rPr>
          <w:rStyle w:val="Appelnotedebasdep"/>
          <w:rFonts w:cs="Times New Roman"/>
        </w:rPr>
        <w:t xml:space="preserve"> </w:t>
      </w:r>
      <w:r w:rsidR="007052DD">
        <w:rPr>
          <w:rStyle w:val="Appelnotedebasdep"/>
          <w:rFonts w:cs="Times New Roman"/>
        </w:rPr>
        <w:footnoteReference w:id="26"/>
      </w:r>
      <w:r w:rsidR="00DA3893">
        <w:t xml:space="preserve"> </w:t>
      </w:r>
      <w:r w:rsidR="006B076C">
        <w:t>Growth through the extensive margin (i.e. growth through new exports) constitutes</w:t>
      </w:r>
      <w:r w:rsidR="006B076C" w:rsidRPr="00D54A82">
        <w:t xml:space="preserve"> </w:t>
      </w:r>
      <w:r w:rsidR="006B076C">
        <w:t xml:space="preserve">a direct channel of diversification as it increases the number of products and markets. On the other hand, growth along the intensive margin </w:t>
      </w:r>
      <w:r w:rsidR="006B076C" w:rsidRPr="007F4443">
        <w:t xml:space="preserve">(i.e. </w:t>
      </w:r>
      <w:r w:rsidR="006B076C">
        <w:t xml:space="preserve">increase in exports of an </w:t>
      </w:r>
      <w:r w:rsidR="006B076C" w:rsidRPr="007F4443">
        <w:t xml:space="preserve">existing product to </w:t>
      </w:r>
      <w:r w:rsidR="006B076C">
        <w:t xml:space="preserve">an </w:t>
      </w:r>
      <w:r w:rsidR="006B076C" w:rsidRPr="007F4443">
        <w:t>existing market</w:t>
      </w:r>
      <w:r w:rsidR="006B076C">
        <w:t>) can contribute to rebalancing Mali’s</w:t>
      </w:r>
      <w:r w:rsidR="006B076C" w:rsidRPr="00E03BA2">
        <w:t xml:space="preserve"> export portfolio</w:t>
      </w:r>
      <w:r w:rsidR="006B076C">
        <w:t xml:space="preserve"> if it occurs in those non-traditional exports such that the share of these exports increases relative to traditional exports. </w:t>
      </w:r>
    </w:p>
    <w:p w:rsidR="00CB72CC" w:rsidRDefault="00CB72CC" w:rsidP="00CB72CC">
      <w:pPr>
        <w:pStyle w:val="Lgende"/>
      </w:pPr>
      <w:r>
        <w:t xml:space="preserve">Figure </w:t>
      </w:r>
      <w:fldSimple w:instr=" SEQ Figure \* ARABIC ">
        <w:r w:rsidR="000610DD">
          <w:rPr>
            <w:noProof/>
          </w:rPr>
          <w:t>5</w:t>
        </w:r>
      </w:fldSimple>
      <w:r>
        <w:t>a and 5b</w:t>
      </w:r>
    </w:p>
    <w:p w:rsidR="006B076C" w:rsidRDefault="006B076C" w:rsidP="006B076C">
      <w:pPr>
        <w:keepNext w:val="0"/>
        <w:widowControl w:val="0"/>
        <w:jc w:val="center"/>
      </w:pPr>
      <w:r w:rsidRPr="00350409">
        <w:rPr>
          <w:noProof/>
          <w:lang w:val="fr-CH" w:eastAsia="fr-CH"/>
        </w:rPr>
        <w:drawing>
          <wp:inline distT="0" distB="0" distL="0" distR="0">
            <wp:extent cx="5770245" cy="2100849"/>
            <wp:effectExtent l="0" t="0" r="0" b="0"/>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770245" cy="2100849"/>
                    </a:xfrm>
                    <a:prstGeom prst="rect">
                      <a:avLst/>
                    </a:prstGeom>
                    <a:noFill/>
                    <a:ln w="9525">
                      <a:noFill/>
                      <a:miter lim="800000"/>
                      <a:headEnd/>
                      <a:tailEnd/>
                    </a:ln>
                  </pic:spPr>
                </pic:pic>
              </a:graphicData>
            </a:graphic>
          </wp:inline>
        </w:drawing>
      </w:r>
    </w:p>
    <w:p w:rsidR="006B076C" w:rsidRDefault="005D7519" w:rsidP="006B076C">
      <w:pPr>
        <w:keepNext w:val="0"/>
        <w:widowControl w:val="0"/>
      </w:pPr>
      <w:r>
        <w:t xml:space="preserve">In Mali, the intensive margin </w:t>
      </w:r>
      <w:r>
        <w:rPr>
          <w:rFonts w:cs="Times New Roman"/>
          <w:szCs w:val="22"/>
        </w:rPr>
        <w:t>has been</w:t>
      </w:r>
      <w:r w:rsidRPr="0064776A">
        <w:rPr>
          <w:rFonts w:cs="Times New Roman"/>
          <w:szCs w:val="22"/>
        </w:rPr>
        <w:t xml:space="preserve"> the main component of </w:t>
      </w:r>
      <w:r>
        <w:rPr>
          <w:rFonts w:cs="Times New Roman"/>
          <w:szCs w:val="22"/>
        </w:rPr>
        <w:t xml:space="preserve">exports (i.e. 95% of total exports, </w:t>
      </w:r>
      <w:r>
        <w:t>except in 2001 and 2004</w:t>
      </w:r>
      <w:r>
        <w:rPr>
          <w:rFonts w:cs="Times New Roman"/>
          <w:szCs w:val="22"/>
        </w:rPr>
        <w:t>) and in most years the main driver of growth (</w:t>
      </w:r>
      <w:r w:rsidR="007E0779">
        <w:rPr>
          <w:rFonts w:cs="Times New Roman"/>
          <w:szCs w:val="22"/>
        </w:rPr>
        <w:t>Figure 5a</w:t>
      </w:r>
      <w:r>
        <w:t>)</w:t>
      </w:r>
      <w:r>
        <w:rPr>
          <w:rFonts w:cs="Times New Roman"/>
          <w:szCs w:val="22"/>
        </w:rPr>
        <w:t xml:space="preserve">. </w:t>
      </w:r>
      <w:r w:rsidR="006B076C">
        <w:rPr>
          <w:rFonts w:cs="Times New Roman"/>
          <w:szCs w:val="22"/>
        </w:rPr>
        <w:t>Yet, this situation reflects ma</w:t>
      </w:r>
      <w:r>
        <w:rPr>
          <w:rFonts w:cs="Times New Roman"/>
          <w:szCs w:val="22"/>
        </w:rPr>
        <w:t>inly the growth in gold exports</w:t>
      </w:r>
      <w:r w:rsidR="00DF6D95">
        <w:rPr>
          <w:rFonts w:cs="Times New Roman"/>
          <w:szCs w:val="22"/>
        </w:rPr>
        <w:t xml:space="preserve">. </w:t>
      </w:r>
      <w:r w:rsidR="007E0779">
        <w:rPr>
          <w:rFonts w:cs="Times New Roman"/>
          <w:szCs w:val="22"/>
        </w:rPr>
        <w:t>Figure 5</w:t>
      </w:r>
      <w:r w:rsidR="006B076C" w:rsidRPr="0072713A">
        <w:rPr>
          <w:rFonts w:cs="Times New Roman"/>
          <w:szCs w:val="22"/>
        </w:rPr>
        <w:t>b</w:t>
      </w:r>
      <w:r w:rsidR="005D4218">
        <w:rPr>
          <w:rFonts w:cs="Times New Roman"/>
          <w:szCs w:val="22"/>
        </w:rPr>
        <w:t>,</w:t>
      </w:r>
      <w:r w:rsidR="006B076C" w:rsidRPr="0072713A">
        <w:rPr>
          <w:rFonts w:cs="Times New Roman"/>
          <w:szCs w:val="22"/>
        </w:rPr>
        <w:t xml:space="preserve"> </w:t>
      </w:r>
      <w:r w:rsidR="006B076C">
        <w:rPr>
          <w:rFonts w:cs="Times New Roman"/>
          <w:szCs w:val="22"/>
        </w:rPr>
        <w:t xml:space="preserve">which </w:t>
      </w:r>
      <w:r w:rsidR="006B076C" w:rsidRPr="0072713A">
        <w:rPr>
          <w:rFonts w:cs="Times New Roman"/>
          <w:szCs w:val="22"/>
        </w:rPr>
        <w:t xml:space="preserve">reports the decomposition </w:t>
      </w:r>
      <w:r w:rsidR="006B076C">
        <w:rPr>
          <w:rFonts w:cs="Times New Roman"/>
          <w:szCs w:val="22"/>
        </w:rPr>
        <w:t>analysis when excluding gold</w:t>
      </w:r>
      <w:r w:rsidR="005D4218">
        <w:rPr>
          <w:rFonts w:cs="Times New Roman"/>
          <w:szCs w:val="22"/>
        </w:rPr>
        <w:t>,</w:t>
      </w:r>
      <w:r w:rsidR="006B076C">
        <w:rPr>
          <w:rFonts w:cs="Times New Roman"/>
          <w:szCs w:val="22"/>
        </w:rPr>
        <w:t xml:space="preserve"> shows that the intensive margin remains the main trade component (with an average share of 86%) but that growth along </w:t>
      </w:r>
      <w:r w:rsidR="006B076C" w:rsidRPr="0064776A">
        <w:rPr>
          <w:rFonts w:cs="Times New Roman"/>
          <w:szCs w:val="22"/>
        </w:rPr>
        <w:t>both</w:t>
      </w:r>
      <w:r w:rsidR="006B076C">
        <w:rPr>
          <w:rFonts w:cs="Times New Roman"/>
          <w:szCs w:val="22"/>
        </w:rPr>
        <w:t xml:space="preserve"> </w:t>
      </w:r>
      <w:r w:rsidR="006B076C" w:rsidRPr="0064776A">
        <w:rPr>
          <w:rFonts w:cs="Times New Roman"/>
          <w:szCs w:val="22"/>
        </w:rPr>
        <w:t>margins</w:t>
      </w:r>
      <w:r w:rsidR="006B076C">
        <w:rPr>
          <w:rFonts w:cs="Times New Roman"/>
          <w:szCs w:val="22"/>
        </w:rPr>
        <w:t xml:space="preserve"> has been weak and erratic. </w:t>
      </w:r>
      <w:r w:rsidR="00DF6D95">
        <w:rPr>
          <w:rFonts w:cs="Times New Roman"/>
          <w:szCs w:val="22"/>
        </w:rPr>
        <w:t xml:space="preserve"> </w:t>
      </w:r>
    </w:p>
    <w:p w:rsidR="006B076C" w:rsidRPr="00B03740" w:rsidRDefault="006B076C" w:rsidP="006B076C">
      <w:pPr>
        <w:pStyle w:val="Style2"/>
        <w:keepNext w:val="0"/>
        <w:keepLines w:val="0"/>
        <w:widowControl w:val="0"/>
        <w:rPr>
          <w:rFonts w:eastAsiaTheme="minorEastAsia"/>
        </w:rPr>
      </w:pPr>
      <w:bookmarkStart w:id="18" w:name="_Toc303332495"/>
      <w:bookmarkStart w:id="19" w:name="_Toc305445912"/>
      <w:r>
        <w:rPr>
          <w:rFonts w:eastAsiaTheme="minorEastAsia"/>
        </w:rPr>
        <w:t>Sources of diversification at the extensive margin</w:t>
      </w:r>
      <w:bookmarkEnd w:id="18"/>
      <w:bookmarkEnd w:id="19"/>
      <w:r>
        <w:rPr>
          <w:rFonts w:eastAsiaTheme="minorEastAsia"/>
        </w:rPr>
        <w:t xml:space="preserve"> </w:t>
      </w:r>
    </w:p>
    <w:p w:rsidR="006B076C" w:rsidRDefault="005D4218" w:rsidP="006B076C">
      <w:pPr>
        <w:keepNext w:val="0"/>
        <w:widowControl w:val="0"/>
      </w:pPr>
      <w:r>
        <w:t>T</w:t>
      </w:r>
      <w:r w:rsidR="006B076C">
        <w:t xml:space="preserve">he </w:t>
      </w:r>
      <w:r>
        <w:t>extensive margin consists of</w:t>
      </w:r>
      <w:r w:rsidR="006B076C">
        <w:t>:</w:t>
      </w:r>
    </w:p>
    <w:p w:rsidR="006B076C" w:rsidRDefault="006B076C" w:rsidP="006B076C">
      <w:pPr>
        <w:pStyle w:val="Paragraphedeliste"/>
        <w:keepNext w:val="0"/>
        <w:widowControl w:val="0"/>
        <w:numPr>
          <w:ilvl w:val="0"/>
          <w:numId w:val="38"/>
        </w:numPr>
      </w:pPr>
      <w:r>
        <w:t>Exports of a new product to an existing market (product diversification)</w:t>
      </w:r>
    </w:p>
    <w:p w:rsidR="006B076C" w:rsidRDefault="006B076C" w:rsidP="006B076C">
      <w:pPr>
        <w:pStyle w:val="Paragraphedeliste"/>
        <w:keepNext w:val="0"/>
        <w:widowControl w:val="0"/>
        <w:numPr>
          <w:ilvl w:val="0"/>
          <w:numId w:val="38"/>
        </w:numPr>
      </w:pPr>
      <w:r>
        <w:t>Exports of an existing product to a new market (market diversification)</w:t>
      </w:r>
    </w:p>
    <w:p w:rsidR="006B076C" w:rsidRDefault="006B076C" w:rsidP="006B076C">
      <w:pPr>
        <w:pStyle w:val="Paragraphedeliste"/>
        <w:keepNext w:val="0"/>
        <w:widowControl w:val="0"/>
        <w:numPr>
          <w:ilvl w:val="0"/>
          <w:numId w:val="38"/>
        </w:numPr>
      </w:pPr>
      <w:r>
        <w:t>Exports of a new product to a new market (product and market diversification)</w:t>
      </w:r>
    </w:p>
    <w:p w:rsidR="006B076C" w:rsidRDefault="006B076C" w:rsidP="006B076C">
      <w:pPr>
        <w:keepNext w:val="0"/>
        <w:widowControl w:val="0"/>
      </w:pPr>
      <w:r>
        <w:t>Such decomposition can bring valuable insights as each component can be associated with a different type of diversification.</w:t>
      </w:r>
      <w:r w:rsidRPr="0075335E">
        <w:rPr>
          <w:rStyle w:val="Appelnotedebasdep"/>
          <w:rFonts w:cs="Times New Roman"/>
        </w:rPr>
        <w:t xml:space="preserve"> </w:t>
      </w:r>
      <w:r w:rsidR="00C90E4E">
        <w:rPr>
          <w:rStyle w:val="Appelnotedebasdep"/>
          <w:rFonts w:cs="Times New Roman"/>
        </w:rPr>
        <w:t xml:space="preserve"> </w:t>
      </w:r>
      <w:r>
        <w:t>In</w:t>
      </w:r>
      <w:r w:rsidR="005D4218">
        <w:t xml:space="preserve"> </w:t>
      </w:r>
      <w:r w:rsidR="000522C4">
        <w:fldChar w:fldCharType="begin"/>
      </w:r>
      <w:r w:rsidR="005D4218">
        <w:instrText xml:space="preserve"> REF _Ref305255589 \h </w:instrText>
      </w:r>
      <w:r w:rsidR="000522C4">
        <w:fldChar w:fldCharType="separate"/>
      </w:r>
      <w:r w:rsidR="000610DD">
        <w:t xml:space="preserve">Figures </w:t>
      </w:r>
      <w:r w:rsidR="000610DD">
        <w:rPr>
          <w:noProof/>
        </w:rPr>
        <w:t>6</w:t>
      </w:r>
      <w:r w:rsidR="000610DD">
        <w:t>a and 6b</w:t>
      </w:r>
      <w:r w:rsidR="000522C4">
        <w:fldChar w:fldCharType="end"/>
      </w:r>
      <w:r>
        <w:t xml:space="preserve">, we sketch the contribution of each component in terms of exports and trade relationships in 1997-2008. </w:t>
      </w:r>
    </w:p>
    <w:p w:rsidR="00196D2B" w:rsidRDefault="00196D2B" w:rsidP="00196D2B">
      <w:pPr>
        <w:pStyle w:val="Lgende"/>
        <w:keepNext w:val="0"/>
        <w:widowControl w:val="0"/>
      </w:pPr>
      <w:bookmarkStart w:id="20" w:name="_Ref305255589"/>
      <w:bookmarkStart w:id="21" w:name="_Ref302558161"/>
      <w:r>
        <w:t xml:space="preserve">Figures </w:t>
      </w:r>
      <w:fldSimple w:instr=" SEQ Figure \* ARABIC ">
        <w:r w:rsidR="000610DD">
          <w:rPr>
            <w:noProof/>
          </w:rPr>
          <w:t>6</w:t>
        </w:r>
      </w:fldSimple>
      <w:r>
        <w:t>a and 6b</w:t>
      </w:r>
      <w:bookmarkEnd w:id="20"/>
    </w:p>
    <w:p w:rsidR="00196D2B" w:rsidRDefault="00196D2B" w:rsidP="006B076C">
      <w:pPr>
        <w:pStyle w:val="Lgende"/>
      </w:pPr>
    </w:p>
    <w:bookmarkEnd w:id="21"/>
    <w:p w:rsidR="006B076C" w:rsidRDefault="006B076C" w:rsidP="006B076C">
      <w:pPr>
        <w:widowControl w:val="0"/>
      </w:pPr>
      <w:r w:rsidRPr="00020C44">
        <w:rPr>
          <w:noProof/>
          <w:lang w:val="fr-CH" w:eastAsia="fr-CH"/>
        </w:rPr>
        <w:drawing>
          <wp:inline distT="0" distB="0" distL="0" distR="0">
            <wp:extent cx="5770245" cy="2100849"/>
            <wp:effectExtent l="0" t="0" r="0" b="0"/>
            <wp:docPr id="1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5770245" cy="2100849"/>
                    </a:xfrm>
                    <a:prstGeom prst="rect">
                      <a:avLst/>
                    </a:prstGeom>
                    <a:noFill/>
                    <a:ln w="9525">
                      <a:noFill/>
                      <a:miter lim="800000"/>
                      <a:headEnd/>
                      <a:tailEnd/>
                    </a:ln>
                  </pic:spPr>
                </pic:pic>
              </a:graphicData>
            </a:graphic>
          </wp:inline>
        </w:drawing>
      </w:r>
    </w:p>
    <w:p w:rsidR="004C3B38" w:rsidRDefault="004C3B38" w:rsidP="004C3B38">
      <w:pPr>
        <w:keepNext w:val="0"/>
        <w:widowControl w:val="0"/>
      </w:pPr>
      <w:r>
        <w:t xml:space="preserve">For accuracy purposes, we exclude gold exports. </w:t>
      </w:r>
      <w:r>
        <w:rPr>
          <w:rFonts w:cs="Times New Roman"/>
        </w:rPr>
        <w:t xml:space="preserve">The data shows </w:t>
      </w:r>
      <w:r w:rsidRPr="00F976A0">
        <w:rPr>
          <w:rFonts w:cs="Times New Roman"/>
        </w:rPr>
        <w:t xml:space="preserve">that </w:t>
      </w:r>
      <w:r>
        <w:rPr>
          <w:rFonts w:cs="Times New Roman"/>
        </w:rPr>
        <w:t xml:space="preserve">in recent years </w:t>
      </w:r>
      <w:r w:rsidRPr="00F976A0">
        <w:rPr>
          <w:rFonts w:cs="Times New Roman"/>
        </w:rPr>
        <w:t xml:space="preserve">Mali’s extensive margin in terms of exports and trade relationships </w:t>
      </w:r>
      <w:r>
        <w:rPr>
          <w:rFonts w:cs="Times New Roman"/>
        </w:rPr>
        <w:t xml:space="preserve">has been </w:t>
      </w:r>
      <w:r w:rsidRPr="00F976A0">
        <w:rPr>
          <w:rFonts w:cs="Times New Roman"/>
        </w:rPr>
        <w:t xml:space="preserve">driven </w:t>
      </w:r>
      <w:r>
        <w:rPr>
          <w:rFonts w:cs="Times New Roman"/>
        </w:rPr>
        <w:t xml:space="preserve">mainly </w:t>
      </w:r>
      <w:r w:rsidRPr="00F976A0">
        <w:rPr>
          <w:rFonts w:cs="Times New Roman"/>
        </w:rPr>
        <w:t>by exporters’ expansion into new markets rather than by the introduction of new products.</w:t>
      </w:r>
      <w:r>
        <w:rPr>
          <w:rFonts w:cs="Times New Roman"/>
        </w:rPr>
        <w:t xml:space="preserve"> </w:t>
      </w:r>
      <w:r>
        <w:t xml:space="preserve">Indeed, exports to a new destination of an existing product accounted </w:t>
      </w:r>
      <w:r w:rsidRPr="00981932">
        <w:t>o</w:t>
      </w:r>
      <w:r>
        <w:t>n average</w:t>
      </w:r>
      <w:r w:rsidRPr="00981932">
        <w:t xml:space="preserve"> </w:t>
      </w:r>
      <w:r>
        <w:t>for 67</w:t>
      </w:r>
      <w:r w:rsidRPr="00981932">
        <w:t xml:space="preserve">% of </w:t>
      </w:r>
      <w:r>
        <w:t xml:space="preserve">the </w:t>
      </w:r>
      <w:r w:rsidRPr="00981932">
        <w:t xml:space="preserve">exports </w:t>
      </w:r>
      <w:r>
        <w:t>at</w:t>
      </w:r>
      <w:r w:rsidRPr="00981932">
        <w:t xml:space="preserve"> </w:t>
      </w:r>
      <w:r>
        <w:t>the extensive margin during the</w:t>
      </w:r>
      <w:r w:rsidRPr="00981932">
        <w:t xml:space="preserve"> </w:t>
      </w:r>
      <w:r>
        <w:t xml:space="preserve">surveyed period, while </w:t>
      </w:r>
      <w:r>
        <w:rPr>
          <w:rFonts w:cs="Times New Roman"/>
        </w:rPr>
        <w:t>exports of new products (i.e. product diversification) remain very limited (i.e. on average 32%) and exports of new products to unexplored markets (i.e. product and market diversification) are almost inexistent (i.e. 1%)</w:t>
      </w:r>
      <w:r w:rsidRPr="005F2556">
        <w:rPr>
          <w:rFonts w:cs="Times New Roman"/>
        </w:rPr>
        <w:t>.</w:t>
      </w:r>
      <w:r w:rsidRPr="005F2556">
        <w:rPr>
          <w:rStyle w:val="Appelnotedebasdep"/>
        </w:rPr>
        <w:footnoteReference w:id="27"/>
      </w:r>
      <w:r>
        <w:t xml:space="preserve"> At the same time, the </w:t>
      </w:r>
      <w:r w:rsidRPr="00F976A0">
        <w:t xml:space="preserve">number of new trade relationships </w:t>
      </w:r>
      <w:r>
        <w:t xml:space="preserve">based on the exports of an existing product </w:t>
      </w:r>
      <w:r w:rsidRPr="00F976A0">
        <w:t>to a new market</w:t>
      </w:r>
      <w:r>
        <w:t xml:space="preserve"> has increased since 2004 to reach </w:t>
      </w:r>
      <w:r w:rsidRPr="00F976A0">
        <w:t>58% of the total number of relationships in 2008</w:t>
      </w:r>
      <w:r>
        <w:t>.</w:t>
      </w:r>
    </w:p>
    <w:p w:rsidR="006B076C" w:rsidRPr="0096080E" w:rsidRDefault="006B076C" w:rsidP="006B076C">
      <w:pPr>
        <w:pStyle w:val="Style2"/>
        <w:keepNext w:val="0"/>
        <w:keepLines w:val="0"/>
        <w:widowControl w:val="0"/>
      </w:pPr>
      <w:bookmarkStart w:id="22" w:name="_Toc303332496"/>
      <w:bookmarkStart w:id="23" w:name="_Toc305445913"/>
      <w:r w:rsidRPr="00857B24">
        <w:t xml:space="preserve">Sources of diversification </w:t>
      </w:r>
      <w:r>
        <w:t>at the in</w:t>
      </w:r>
      <w:r w:rsidRPr="00857B24">
        <w:t>tensive margin</w:t>
      </w:r>
      <w:bookmarkEnd w:id="22"/>
      <w:bookmarkEnd w:id="23"/>
      <w:r w:rsidRPr="00857B24">
        <w:t xml:space="preserve"> </w:t>
      </w:r>
    </w:p>
    <w:p w:rsidR="006B076C" w:rsidRDefault="006B076C" w:rsidP="006B076C">
      <w:pPr>
        <w:keepNext w:val="0"/>
        <w:widowControl w:val="0"/>
      </w:pPr>
      <w:r>
        <w:t xml:space="preserve">Looking at </w:t>
      </w:r>
      <w:r w:rsidR="005D4218">
        <w:t xml:space="preserve">the export dynamics </w:t>
      </w:r>
      <w:r>
        <w:t xml:space="preserve">within the intensive margin -existing trade relationships- is also essential to understand the diversification process.  Indeed the expansion of non-traditional products that are currently being exported in limited quantities could help to reduce a country's export concentration. By </w:t>
      </w:r>
      <w:proofErr w:type="spellStart"/>
      <w:r>
        <w:t>reasing</w:t>
      </w:r>
      <w:proofErr w:type="spellEnd"/>
      <w:r>
        <w:t xml:space="preserve"> non-traditional exports, their share in total exports could increase if they grow faster than traditional ones. To analyze this possibility, we identified those relationships that accounted for less than 0.1% of non-gold exports in 2000, and compute their contribution in 2005 and 2008.</w:t>
      </w:r>
      <w:r>
        <w:rPr>
          <w:rStyle w:val="Appelnotedebasdep"/>
        </w:rPr>
        <w:footnoteReference w:id="28"/>
      </w:r>
      <w:r>
        <w:t xml:space="preserve"> We do the same for the relationships that account for more than 0.1% of non-gold exports in 2000 as well as for those that did not existed yet in 2000. </w:t>
      </w:r>
      <w:r w:rsidR="000522C4">
        <w:fldChar w:fldCharType="begin"/>
      </w:r>
      <w:r w:rsidR="005D4218">
        <w:instrText xml:space="preserve"> REF _Ref305255811 \h </w:instrText>
      </w:r>
      <w:r w:rsidR="000522C4">
        <w:fldChar w:fldCharType="separate"/>
      </w:r>
      <w:r w:rsidR="000610DD">
        <w:t xml:space="preserve">Figures </w:t>
      </w:r>
      <w:r w:rsidR="000610DD">
        <w:rPr>
          <w:noProof/>
        </w:rPr>
        <w:t>7</w:t>
      </w:r>
      <w:r w:rsidR="000610DD">
        <w:t>a and 7b</w:t>
      </w:r>
      <w:r w:rsidR="000522C4">
        <w:fldChar w:fldCharType="end"/>
      </w:r>
      <w:r w:rsidR="005D4218">
        <w:t xml:space="preserve"> </w:t>
      </w:r>
      <w:r>
        <w:t xml:space="preserve">show the results. </w:t>
      </w:r>
    </w:p>
    <w:p w:rsidR="005D4218" w:rsidRDefault="005D4218" w:rsidP="005D4218">
      <w:pPr>
        <w:pStyle w:val="Lgende"/>
      </w:pPr>
      <w:bookmarkStart w:id="24" w:name="_Ref305255811"/>
      <w:r>
        <w:lastRenderedPageBreak/>
        <w:t xml:space="preserve">Figures </w:t>
      </w:r>
      <w:fldSimple w:instr=" SEQ Figure \* ARABIC ">
        <w:r w:rsidR="000610DD">
          <w:rPr>
            <w:noProof/>
          </w:rPr>
          <w:t>7</w:t>
        </w:r>
      </w:fldSimple>
      <w:r>
        <w:t>a and 7b</w:t>
      </w:r>
      <w:bookmarkEnd w:id="24"/>
    </w:p>
    <w:p w:rsidR="006B076C" w:rsidRPr="007D7A48" w:rsidRDefault="006B076C" w:rsidP="005D4218">
      <w:pPr>
        <w:keepNext w:val="0"/>
        <w:widowControl w:val="0"/>
        <w:jc w:val="center"/>
      </w:pPr>
      <w:r w:rsidRPr="007D7A48">
        <w:rPr>
          <w:noProof/>
          <w:lang w:val="fr-CH" w:eastAsia="fr-CH"/>
        </w:rPr>
        <w:drawing>
          <wp:inline distT="0" distB="0" distL="0" distR="0">
            <wp:extent cx="5770245" cy="2103649"/>
            <wp:effectExtent l="0" t="0" r="0" b="0"/>
            <wp:docPr id="2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5770245" cy="2103649"/>
                    </a:xfrm>
                    <a:prstGeom prst="rect">
                      <a:avLst/>
                    </a:prstGeom>
                    <a:noFill/>
                    <a:ln w="9525">
                      <a:noFill/>
                      <a:miter lim="800000"/>
                      <a:headEnd/>
                      <a:tailEnd/>
                    </a:ln>
                  </pic:spPr>
                </pic:pic>
              </a:graphicData>
            </a:graphic>
          </wp:inline>
        </w:drawing>
      </w:r>
    </w:p>
    <w:p w:rsidR="009C7FD6" w:rsidRDefault="006B076C" w:rsidP="006B076C">
      <w:pPr>
        <w:keepNext w:val="0"/>
        <w:widowControl w:val="0"/>
      </w:pPr>
      <w:r w:rsidRPr="00AC33D8">
        <w:t xml:space="preserve">Products that were not exported in 2000 or that accounted for less than 0.1% of non-gold exports within the intensive margin reached $US 206 million in 2008 (against $US 2 million in 2000). In contrast, exports with a share greater than 0.1% in 2000 went from $US 172 million to $US 181 million in 2008, that is 5% more than in 2000.  If we exclude cotton, </w:t>
      </w:r>
      <w:r>
        <w:t xml:space="preserve">non-gold </w:t>
      </w:r>
      <w:r w:rsidRPr="00AC33D8">
        <w:t>exports with an export share larger than 0.1% in 2000 were about $US 5 million and remained almost at same value (i.e. $US 6 million) in 2008. These figures show that it is non-traditional exports (i.e. exports that did not exist in 2000 or that had small export shares) which have expanded the most and have driven the growth along the intensive margin</w:t>
      </w:r>
      <w:r>
        <w:t xml:space="preserve"> in the last decade</w:t>
      </w:r>
      <w:r w:rsidRPr="00AC33D8">
        <w:t>.</w:t>
      </w:r>
      <w:r>
        <w:t xml:space="preserve"> Among non-gold exports, products </w:t>
      </w:r>
      <w:r w:rsidRPr="00AC33D8">
        <w:t>that did not exist in 2000 or accounted for less than 0.1% and that greatly expand (i.e. more than 400% cumulated growth) were livestock (especially live sheep), minerals, sesame, cereals, seeds, footwear, and m</w:t>
      </w:r>
      <w:r>
        <w:t>echanical appliances. Products showing</w:t>
      </w:r>
      <w:r w:rsidRPr="00AC33D8">
        <w:t xml:space="preserve"> the greatest performance in 2008 (i.e. more than 400% cumulated growth) </w:t>
      </w:r>
      <w:r>
        <w:t>among p</w:t>
      </w:r>
      <w:r w:rsidRPr="00AC33D8">
        <w:t xml:space="preserve">roducts with an export share larger than 0.1% </w:t>
      </w:r>
      <w:r>
        <w:t xml:space="preserve">in 2000 </w:t>
      </w:r>
      <w:r w:rsidRPr="00AC33D8">
        <w:t>were plain weave cotton and fruits (including mangoes and guavas).</w:t>
      </w:r>
      <w:r w:rsidRPr="00AC33D8">
        <w:rPr>
          <w:rStyle w:val="Appelnotedebasdep"/>
        </w:rPr>
        <w:footnoteReference w:id="29"/>
      </w:r>
      <w:r>
        <w:t xml:space="preserve"> Yet, such </w:t>
      </w:r>
      <w:r w:rsidRPr="000E1174">
        <w:t xml:space="preserve">progression has proved to be insufficient to reduce the inequality within </w:t>
      </w:r>
      <w:r w:rsidRPr="00D916D7">
        <w:t>Mali’s export portfolio given that cotton still accounts for 45% of non-gold exports at the intensive margin</w:t>
      </w:r>
      <w:r>
        <w:t>.</w:t>
      </w:r>
      <w:r w:rsidRPr="00D916D7">
        <w:t xml:space="preserve"> </w:t>
      </w:r>
      <w:r>
        <w:t xml:space="preserve"> </w:t>
      </w:r>
      <w:r w:rsidR="009748F6">
        <w:t xml:space="preserve"> </w:t>
      </w:r>
      <w:r w:rsidR="00CC2E8C">
        <w:t xml:space="preserve">    </w:t>
      </w:r>
    </w:p>
    <w:p w:rsidR="00E64AF7" w:rsidRDefault="00E64AF7" w:rsidP="00F648A6">
      <w:pPr>
        <w:pStyle w:val="Style2"/>
      </w:pPr>
      <w:bookmarkStart w:id="25" w:name="_Toc303332499"/>
      <w:bookmarkStart w:id="26" w:name="_Toc305445914"/>
      <w:r>
        <w:t>Behind the extensive and in</w:t>
      </w:r>
      <w:r w:rsidRPr="00857B24">
        <w:t>tensive margin</w:t>
      </w:r>
      <w:r w:rsidR="006341C5">
        <w:t>s</w:t>
      </w:r>
      <w:bookmarkEnd w:id="25"/>
      <w:bookmarkEnd w:id="26"/>
      <w:r w:rsidRPr="00857B24">
        <w:t xml:space="preserve"> </w:t>
      </w:r>
    </w:p>
    <w:p w:rsidR="00E64AF7" w:rsidRPr="0083500C" w:rsidRDefault="004C3B38" w:rsidP="0083500C">
      <w:pPr>
        <w:rPr>
          <w:rFonts w:cs="Times New Roman"/>
        </w:rPr>
      </w:pPr>
      <w:r>
        <w:t>The data</w:t>
      </w:r>
      <w:r w:rsidRPr="000E1174">
        <w:t xml:space="preserve"> shows that </w:t>
      </w:r>
      <w:r w:rsidR="0083500C">
        <w:t xml:space="preserve">Mali’s main source of diversification </w:t>
      </w:r>
      <w:r w:rsidR="0083500C">
        <w:rPr>
          <w:rFonts w:cs="Times New Roman"/>
        </w:rPr>
        <w:t xml:space="preserve">has been the expansion </w:t>
      </w:r>
      <w:proofErr w:type="spellStart"/>
      <w:r w:rsidR="0083500C">
        <w:rPr>
          <w:rFonts w:cs="Times New Roman"/>
        </w:rPr>
        <w:t>i</w:t>
      </w:r>
      <w:proofErr w:type="spellEnd"/>
      <w:r w:rsidR="0083500C">
        <w:rPr>
          <w:rFonts w:cs="Times New Roman"/>
        </w:rPr>
        <w:t>) into new markets</w:t>
      </w:r>
      <w:r w:rsidR="0083500C" w:rsidRPr="000E1174">
        <w:t xml:space="preserve"> </w:t>
      </w:r>
      <w:r w:rsidR="0083500C">
        <w:t>and ii) of</w:t>
      </w:r>
      <w:r w:rsidRPr="000E1174">
        <w:t xml:space="preserve"> non-traditional exports along the</w:t>
      </w:r>
      <w:r w:rsidR="0083500C">
        <w:t xml:space="preserve"> extensive and</w:t>
      </w:r>
      <w:r w:rsidRPr="000E1174">
        <w:t xml:space="preserve"> intensive margin</w:t>
      </w:r>
      <w:r w:rsidR="0083500C">
        <w:t xml:space="preserve"> respectively</w:t>
      </w:r>
      <w:r w:rsidRPr="000E1174">
        <w:t xml:space="preserve">. </w:t>
      </w:r>
      <w:r>
        <w:t xml:space="preserve">This means that </w:t>
      </w:r>
      <w:r>
        <w:rPr>
          <w:rFonts w:cs="Times New Roman"/>
        </w:rPr>
        <w:t xml:space="preserve">along the extensive margin, growth has been driven by new or incumbent exporters that start serving a new market, either with a product they were already exporting or with a product other firms were already exporting. </w:t>
      </w:r>
      <w:r w:rsidR="0083500C">
        <w:rPr>
          <w:rFonts w:cs="Times New Roman"/>
        </w:rPr>
        <w:t>In addition, this could indicate that</w:t>
      </w:r>
      <w:r w:rsidR="0083500C" w:rsidRPr="003D496A">
        <w:rPr>
          <w:rFonts w:cs="Times New Roman"/>
        </w:rPr>
        <w:t xml:space="preserve"> </w:t>
      </w:r>
      <w:r w:rsidR="0083500C">
        <w:rPr>
          <w:rFonts w:cs="Times New Roman"/>
        </w:rPr>
        <w:t xml:space="preserve">breaking into new markets is relatively easier than introducing a new product. Indeed, once a product has been successful in a given market, it is very likely that the cost to start selling it to another market is lower than starting exporting an entirely new product. As for the intensive margin, its main driver has been non-traditional exports, thus implying that the intensive margin has been driven by </w:t>
      </w:r>
      <w:r w:rsidR="0083500C">
        <w:t>new or incumbent exporters that expand the sales of a product-market line they were already exporting or that they start exporting a product-market line, other</w:t>
      </w:r>
      <w:r w:rsidR="008E3FDB">
        <w:t xml:space="preserve">s </w:t>
      </w:r>
      <w:r w:rsidR="00352208">
        <w:t>were already exporting</w:t>
      </w:r>
      <w:r w:rsidR="0083500C">
        <w:t xml:space="preserve">. In order to assess the role </w:t>
      </w:r>
      <w:r w:rsidR="0083500C">
        <w:rPr>
          <w:rFonts w:cs="Times New Roman"/>
        </w:rPr>
        <w:t xml:space="preserve">played by existing and new exporters in </w:t>
      </w:r>
      <w:r w:rsidR="0083500C">
        <w:rPr>
          <w:rFonts w:cs="Times New Roman"/>
        </w:rPr>
        <w:lastRenderedPageBreak/>
        <w:t xml:space="preserve">trade diversification, we compute their share on each of the components of the extensive and intensive margin. </w:t>
      </w:r>
      <w:r w:rsidR="000522C4">
        <w:rPr>
          <w:rFonts w:cs="Times New Roman"/>
        </w:rPr>
        <w:fldChar w:fldCharType="begin"/>
      </w:r>
      <w:r w:rsidR="0083500C">
        <w:rPr>
          <w:rFonts w:cs="Times New Roman"/>
        </w:rPr>
        <w:instrText xml:space="preserve"> REF _Ref278899013 \h </w:instrText>
      </w:r>
      <w:r w:rsidR="000522C4">
        <w:rPr>
          <w:rFonts w:cs="Times New Roman"/>
        </w:rPr>
      </w:r>
      <w:r w:rsidR="000522C4">
        <w:rPr>
          <w:rFonts w:cs="Times New Roman"/>
        </w:rPr>
        <w:fldChar w:fldCharType="separate"/>
      </w:r>
      <w:r w:rsidR="000610DD">
        <w:t xml:space="preserve">Figures </w:t>
      </w:r>
      <w:r w:rsidR="000610DD">
        <w:rPr>
          <w:noProof/>
        </w:rPr>
        <w:t>8</w:t>
      </w:r>
      <w:r w:rsidR="000522C4">
        <w:rPr>
          <w:rFonts w:cs="Times New Roman"/>
        </w:rPr>
        <w:fldChar w:fldCharType="end"/>
      </w:r>
      <w:proofErr w:type="gramStart"/>
      <w:r w:rsidR="0083500C">
        <w:rPr>
          <w:rFonts w:cs="Times New Roman"/>
        </w:rPr>
        <w:t>a and</w:t>
      </w:r>
      <w:proofErr w:type="gramEnd"/>
      <w:r w:rsidR="0083500C">
        <w:rPr>
          <w:rFonts w:cs="Times New Roman"/>
        </w:rPr>
        <w:t xml:space="preserve"> 8b present the results in 2006-2008.</w:t>
      </w:r>
      <w:r w:rsidR="0083500C">
        <w:rPr>
          <w:rStyle w:val="Appelnotedebasdep"/>
          <w:rFonts w:cs="Times New Roman"/>
        </w:rPr>
        <w:footnoteReference w:id="30"/>
      </w:r>
    </w:p>
    <w:p w:rsidR="00E64AF7" w:rsidRDefault="00E64AF7" w:rsidP="00E64AF7">
      <w:pPr>
        <w:pStyle w:val="Lgende"/>
        <w:keepNext w:val="0"/>
        <w:widowControl w:val="0"/>
      </w:pPr>
      <w:bookmarkStart w:id="27" w:name="_Ref278899013"/>
      <w:r>
        <w:t>Figure</w:t>
      </w:r>
      <w:r w:rsidR="00961ACF">
        <w:t>s</w:t>
      </w:r>
      <w:r>
        <w:t xml:space="preserve"> </w:t>
      </w:r>
      <w:fldSimple w:instr=" SEQ Figure \* ARABIC ">
        <w:r w:rsidR="000610DD">
          <w:rPr>
            <w:noProof/>
          </w:rPr>
          <w:t>8</w:t>
        </w:r>
      </w:fldSimple>
      <w:bookmarkEnd w:id="27"/>
      <w:r w:rsidR="00A031C7">
        <w:rPr>
          <w:noProof/>
        </w:rPr>
        <w:t>a and 8</w:t>
      </w:r>
      <w:r w:rsidR="00961ACF">
        <w:rPr>
          <w:noProof/>
        </w:rPr>
        <w:t>b</w:t>
      </w:r>
    </w:p>
    <w:p w:rsidR="00423324" w:rsidRPr="00D32F22" w:rsidRDefault="00423324" w:rsidP="00E87E89">
      <w:pPr>
        <w:keepNext w:val="0"/>
        <w:widowControl w:val="0"/>
        <w:jc w:val="center"/>
      </w:pPr>
      <w:r w:rsidRPr="00423324">
        <w:rPr>
          <w:noProof/>
          <w:lang w:val="fr-CH" w:eastAsia="fr-CH"/>
        </w:rPr>
        <w:drawing>
          <wp:inline distT="0" distB="0" distL="0" distR="0">
            <wp:extent cx="5713200" cy="20592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3200" cy="2059200"/>
                    </a:xfrm>
                    <a:prstGeom prst="rect">
                      <a:avLst/>
                    </a:prstGeom>
                    <a:noFill/>
                    <a:ln>
                      <a:noFill/>
                    </a:ln>
                  </pic:spPr>
                </pic:pic>
              </a:graphicData>
            </a:graphic>
          </wp:inline>
        </w:drawing>
      </w:r>
    </w:p>
    <w:p w:rsidR="00CC6DA1" w:rsidRDefault="00E64AF7" w:rsidP="00961ACF">
      <w:pPr>
        <w:keepNext w:val="0"/>
        <w:widowControl w:val="0"/>
      </w:pPr>
      <w:r w:rsidRPr="006B2107">
        <w:rPr>
          <w:rFonts w:cs="Times New Roman"/>
        </w:rPr>
        <w:t xml:space="preserve">The data suggest that most of exports at the extensive margin came from </w:t>
      </w:r>
      <w:r>
        <w:rPr>
          <w:rFonts w:cs="Times New Roman"/>
        </w:rPr>
        <w:t>incumbent</w:t>
      </w:r>
      <w:r w:rsidRPr="006B2107">
        <w:rPr>
          <w:rFonts w:cs="Times New Roman"/>
        </w:rPr>
        <w:t xml:space="preserve"> exporters and this regardless of the component in consideration. There were two exceptions. In 2007 and 2008, it was new exporters who drove the exports of new products and of new products to new markets respectively.</w:t>
      </w:r>
      <w:r w:rsidR="007B00C2">
        <w:rPr>
          <w:rStyle w:val="Appelnotedebasdep"/>
          <w:rFonts w:cs="Times New Roman"/>
        </w:rPr>
        <w:footnoteReference w:id="31"/>
      </w:r>
      <w:r>
        <w:rPr>
          <w:rFonts w:cs="Times New Roman"/>
        </w:rPr>
        <w:t xml:space="preserve"> </w:t>
      </w:r>
      <w:r w:rsidR="000675CC">
        <w:t>As for the dynamics within the intensive margin, experienc</w:t>
      </w:r>
      <w:r w:rsidR="00B31ECA">
        <w:t>ed (i.e. existing) exporters were</w:t>
      </w:r>
      <w:r w:rsidR="000675CC">
        <w:t xml:space="preserve"> also the main players behind the expansion of the intensive margin (</w:t>
      </w:r>
      <w:r w:rsidR="000522C4">
        <w:rPr>
          <w:rFonts w:cs="Times New Roman"/>
        </w:rPr>
        <w:fldChar w:fldCharType="begin"/>
      </w:r>
      <w:r w:rsidR="000675CC">
        <w:rPr>
          <w:rFonts w:cs="Times New Roman"/>
        </w:rPr>
        <w:instrText xml:space="preserve"> REF _Ref278899013 \h </w:instrText>
      </w:r>
      <w:r w:rsidR="000522C4">
        <w:rPr>
          <w:rFonts w:cs="Times New Roman"/>
        </w:rPr>
      </w:r>
      <w:r w:rsidR="000522C4">
        <w:rPr>
          <w:rFonts w:cs="Times New Roman"/>
        </w:rPr>
        <w:fldChar w:fldCharType="separate"/>
      </w:r>
      <w:r w:rsidR="000610DD">
        <w:t xml:space="preserve">Figures </w:t>
      </w:r>
      <w:r w:rsidR="000610DD">
        <w:rPr>
          <w:noProof/>
        </w:rPr>
        <w:t>8</w:t>
      </w:r>
      <w:r w:rsidR="000522C4">
        <w:rPr>
          <w:rFonts w:cs="Times New Roman"/>
        </w:rPr>
        <w:fldChar w:fldCharType="end"/>
      </w:r>
      <w:r w:rsidR="000675CC">
        <w:rPr>
          <w:rFonts w:cs="Times New Roman"/>
        </w:rPr>
        <w:t>b)</w:t>
      </w:r>
      <w:r w:rsidR="007B0DBC">
        <w:t>. These results are</w:t>
      </w:r>
      <w:r w:rsidR="000675CC">
        <w:t xml:space="preserve"> not necessarily surprising given the high failure rates among new exporters, which could explain their scant contribution </w:t>
      </w:r>
      <w:r w:rsidR="004244C9">
        <w:t xml:space="preserve">to </w:t>
      </w:r>
      <w:r w:rsidR="000675CC">
        <w:t>the extensive and intensive margin. In addition, there may be barriers to entr</w:t>
      </w:r>
      <w:r w:rsidR="00EC0E99">
        <w:t>y which could be</w:t>
      </w:r>
      <w:r w:rsidR="000675CC">
        <w:t xml:space="preserve"> preventing new expor</w:t>
      </w:r>
      <w:r w:rsidR="00EC0E99">
        <w:t>ters from exploring new product</w:t>
      </w:r>
      <w:r w:rsidR="000675CC">
        <w:t xml:space="preserve"> and market opportunities.   </w:t>
      </w:r>
    </w:p>
    <w:p w:rsidR="00CC6DA1" w:rsidRDefault="007B0DBC" w:rsidP="0005551F">
      <w:pPr>
        <w:keepNext w:val="0"/>
        <w:widowControl w:val="0"/>
      </w:pPr>
      <w:r>
        <w:t xml:space="preserve">In both cases, incumbent exporters </w:t>
      </w:r>
      <w:r w:rsidR="00E83010">
        <w:t xml:space="preserve">appear as </w:t>
      </w:r>
      <w:r>
        <w:t>the main players be</w:t>
      </w:r>
      <w:r w:rsidR="00E83010">
        <w:t>hind the</w:t>
      </w:r>
      <w:r>
        <w:t xml:space="preserve"> two margins.</w:t>
      </w:r>
      <w:r w:rsidR="0016210D">
        <w:t xml:space="preserve"> Yet, </w:t>
      </w:r>
      <w:r w:rsidR="008E3FDB">
        <w:t>the factors affecting exporters’</w:t>
      </w:r>
      <w:r w:rsidR="0016210D">
        <w:t xml:space="preserve"> survival</w:t>
      </w:r>
      <w:r w:rsidR="0077481F">
        <w:t>,</w:t>
      </w:r>
      <w:r w:rsidR="0016210D">
        <w:t xml:space="preserve"> as well</w:t>
      </w:r>
      <w:r w:rsidR="0077481F">
        <w:t xml:space="preserve"> as their decision </w:t>
      </w:r>
      <w:r w:rsidR="0016210D">
        <w:t xml:space="preserve">to </w:t>
      </w:r>
      <w:r w:rsidR="008E3FDB">
        <w:t xml:space="preserve">introduce a product </w:t>
      </w:r>
      <w:r w:rsidR="0077481F">
        <w:t xml:space="preserve">or break into a new market </w:t>
      </w:r>
      <w:r w:rsidR="008E3FDB">
        <w:t>remain</w:t>
      </w:r>
      <w:r w:rsidR="003E6D23">
        <w:t xml:space="preserve"> </w:t>
      </w:r>
      <w:r w:rsidR="009F0799">
        <w:t>unclear</w:t>
      </w:r>
      <w:r w:rsidR="0016210D">
        <w:t xml:space="preserve">. </w:t>
      </w:r>
      <w:r w:rsidR="008E3FDB">
        <w:t>In the next section, we tried to shed some light on t</w:t>
      </w:r>
      <w:r w:rsidR="0077481F">
        <w:t>his issue</w:t>
      </w:r>
      <w:r w:rsidR="008E3FDB">
        <w:t xml:space="preserve">. </w:t>
      </w:r>
    </w:p>
    <w:p w:rsidR="00535AAF" w:rsidRPr="00FD1633" w:rsidRDefault="007D6C4A" w:rsidP="0005551F">
      <w:pPr>
        <w:pStyle w:val="Style1"/>
        <w:keepNext w:val="0"/>
        <w:keepLines w:val="0"/>
        <w:widowControl w:val="0"/>
      </w:pPr>
      <w:bookmarkStart w:id="28" w:name="_Toc303332500"/>
      <w:bookmarkStart w:id="29" w:name="_Toc305445915"/>
      <w:r>
        <w:t>What drive</w:t>
      </w:r>
      <w:r w:rsidR="002402BE">
        <w:t>s firm</w:t>
      </w:r>
      <w:r w:rsidR="001A768A">
        <w:t xml:space="preserve"> </w:t>
      </w:r>
      <w:r w:rsidR="00C95625" w:rsidRPr="00FD1633">
        <w:t>export diversificatio</w:t>
      </w:r>
      <w:r w:rsidR="001A768A">
        <w:t>n?</w:t>
      </w:r>
      <w:bookmarkEnd w:id="28"/>
      <w:bookmarkEnd w:id="29"/>
    </w:p>
    <w:p w:rsidR="005D0D70" w:rsidRDefault="006A6970" w:rsidP="00E314F0">
      <w:pPr>
        <w:keepNext w:val="0"/>
        <w:widowControl w:val="0"/>
      </w:pPr>
      <w:r>
        <w:t xml:space="preserve">Using the firm-level </w:t>
      </w:r>
      <w:r w:rsidR="00AC7B72">
        <w:t xml:space="preserve">data provided by Malian Customs Authorities </w:t>
      </w:r>
      <w:r>
        <w:t xml:space="preserve">for the 2005-2008 period, we assess the role </w:t>
      </w:r>
      <w:r w:rsidR="00A46312">
        <w:t>of supply and demand</w:t>
      </w:r>
      <w:r w:rsidR="00F803BE">
        <w:t>-side factors</w:t>
      </w:r>
      <w:r>
        <w:t>, as well as of</w:t>
      </w:r>
      <w:r w:rsidR="00F803BE">
        <w:t xml:space="preserve"> product characteristics and </w:t>
      </w:r>
      <w:r>
        <w:t xml:space="preserve">information spillovers on the ability of firms </w:t>
      </w:r>
      <w:r w:rsidR="00A3428C">
        <w:t>to (</w:t>
      </w:r>
      <w:proofErr w:type="spellStart"/>
      <w:r w:rsidR="00A3428C">
        <w:t>i</w:t>
      </w:r>
      <w:proofErr w:type="spellEnd"/>
      <w:r w:rsidR="00A3428C">
        <w:t xml:space="preserve">) </w:t>
      </w:r>
      <w:r>
        <w:t>introduce new products; (ii)</w:t>
      </w:r>
      <w:r w:rsidR="00A3428C">
        <w:t xml:space="preserve"> serve new markets;</w:t>
      </w:r>
      <w:r w:rsidR="00853E73">
        <w:t xml:space="preserve"> (iii</w:t>
      </w:r>
      <w:r w:rsidR="00A3428C">
        <w:t xml:space="preserve">) and </w:t>
      </w:r>
      <w:r>
        <w:t>survive.</w:t>
      </w:r>
      <w:r w:rsidR="00F803BE">
        <w:t xml:space="preserve"> Supply-side factors are captured by exporters</w:t>
      </w:r>
      <w:r w:rsidR="00A3428C">
        <w:t>’</w:t>
      </w:r>
      <w:r w:rsidR="00F803BE">
        <w:t xml:space="preserve"> characteristics, while demand-side factors are </w:t>
      </w:r>
      <w:proofErr w:type="spellStart"/>
      <w:r w:rsidR="00F803BE">
        <w:t>proxied</w:t>
      </w:r>
      <w:proofErr w:type="spellEnd"/>
      <w:r w:rsidR="00F803BE">
        <w:t xml:space="preserve"> by market characteristics. </w:t>
      </w:r>
    </w:p>
    <w:p w:rsidR="005D0D70" w:rsidRDefault="005D0D70" w:rsidP="00E314F0">
      <w:pPr>
        <w:pStyle w:val="Style2"/>
        <w:keepNext w:val="0"/>
        <w:keepLines w:val="0"/>
        <w:widowControl w:val="0"/>
      </w:pPr>
      <w:bookmarkStart w:id="30" w:name="_Toc303332501"/>
      <w:bookmarkStart w:id="31" w:name="_Toc305445916"/>
      <w:r w:rsidRPr="00740AD2">
        <w:t>Product diversification</w:t>
      </w:r>
      <w:bookmarkEnd w:id="30"/>
      <w:bookmarkEnd w:id="31"/>
    </w:p>
    <w:p w:rsidR="00D71230" w:rsidRPr="00740AD2" w:rsidRDefault="00B76EB0" w:rsidP="00E314F0">
      <w:pPr>
        <w:keepNext w:val="0"/>
        <w:widowControl w:val="0"/>
      </w:pPr>
      <w:r>
        <w:t>In order to better understand how product diversification occurs, we analyze the effect of firm and market characteristics on</w:t>
      </w:r>
      <w:r w:rsidR="007A0D85">
        <w:t xml:space="preserve"> the probability of an existing</w:t>
      </w:r>
      <w:r>
        <w:t xml:space="preserve"> exporter to introduce a new product. The equation to be estimated is the following:</w:t>
      </w:r>
    </w:p>
    <w:p w:rsidR="00310AF0" w:rsidRDefault="000522C4" w:rsidP="00E314F0">
      <w:pPr>
        <w:keepNext w:val="0"/>
        <w:widowControl w:val="0"/>
        <w:spacing w:after="0"/>
        <w:jc w:val="center"/>
        <w:rPr>
          <w:rFonts w:eastAsiaTheme="minorEastAsia"/>
          <w:szCs w:val="22"/>
        </w:rPr>
      </w:pPr>
      <m:oMathPara>
        <m:oMath>
          <m:sSub>
            <m:sSubPr>
              <m:ctrlPr>
                <w:rPr>
                  <w:rFonts w:ascii="Cambria Math" w:hAnsi="Cambria Math"/>
                  <w:szCs w:val="22"/>
                </w:rPr>
              </m:ctrlPr>
            </m:sSubPr>
            <m:e>
              <m:r>
                <w:rPr>
                  <w:rFonts w:ascii="Cambria Math" w:hAnsi="Cambria Math"/>
                  <w:szCs w:val="22"/>
                </w:rPr>
                <m:t>Prob(NewProd=1)</m:t>
              </m:r>
            </m:e>
            <m:sub>
              <m:r>
                <w:rPr>
                  <w:rFonts w:ascii="Cambria Math" w:hAnsi="Cambria Math"/>
                  <w:szCs w:val="22"/>
                </w:rPr>
                <m:t>ijt</m:t>
              </m:r>
            </m:sub>
          </m:sSub>
          <m:r>
            <m:rPr>
              <m:sty m:val="p"/>
            </m:rPr>
            <w:rPr>
              <w:rFonts w:ascii="Cambria Math" w:hAnsi="Cambria Math"/>
              <w:szCs w:val="22"/>
            </w:rPr>
            <m:t>=</m:t>
          </m:r>
          <m:sSub>
            <m:sSubPr>
              <m:ctrlPr>
                <w:rPr>
                  <w:rFonts w:ascii="Cambria Math" w:hAnsi="Cambria Math"/>
                  <w:szCs w:val="22"/>
                </w:rPr>
              </m:ctrlPr>
            </m:sSubPr>
            <m:e>
              <m:r>
                <w:rPr>
                  <w:rFonts w:ascii="Cambria Math" w:hAnsi="Cambria Math"/>
                  <w:szCs w:val="22"/>
                </w:rPr>
                <m:t>β</m:t>
              </m:r>
            </m:e>
            <m:sub>
              <m:r>
                <m:rPr>
                  <m:sty m:val="p"/>
                </m:rPr>
                <w:rPr>
                  <w:rFonts w:ascii="Cambria Math" w:hAnsi="Cambria Math"/>
                  <w:szCs w:val="22"/>
                </w:rPr>
                <m:t>1</m:t>
              </m:r>
            </m:sub>
          </m:sSub>
          <m:sSub>
            <m:sSubPr>
              <m:ctrlPr>
                <w:rPr>
                  <w:rFonts w:ascii="Cambria Math" w:hAnsi="Cambria Math"/>
                  <w:szCs w:val="22"/>
                </w:rPr>
              </m:ctrlPr>
            </m:sSubPr>
            <m:e>
              <m:r>
                <w:rPr>
                  <w:rFonts w:ascii="Cambria Math" w:hAnsi="Cambria Math"/>
                  <w:szCs w:val="22"/>
                </w:rPr>
                <m:t>FirmCs</m:t>
              </m:r>
            </m:e>
            <m:sub>
              <m:r>
                <w:rPr>
                  <w:rFonts w:ascii="Cambria Math" w:hAnsi="Cambria Math"/>
                  <w:szCs w:val="22"/>
                </w:rPr>
                <m:t>it</m:t>
              </m:r>
            </m:sub>
          </m:sSub>
          <m:r>
            <m:rPr>
              <m:sty m:val="p"/>
            </m:rPr>
            <w:rPr>
              <w:rFonts w:ascii="Cambria Math" w:hAnsi="Cambria Math"/>
              <w:szCs w:val="22"/>
            </w:rPr>
            <m:t>+</m:t>
          </m:r>
          <m:sSub>
            <m:sSubPr>
              <m:ctrlPr>
                <w:rPr>
                  <w:rFonts w:ascii="Cambria Math" w:hAnsi="Cambria Math"/>
                  <w:szCs w:val="22"/>
                </w:rPr>
              </m:ctrlPr>
            </m:sSubPr>
            <m:e>
              <m:r>
                <w:rPr>
                  <w:rFonts w:ascii="Cambria Math" w:hAnsi="Cambria Math"/>
                  <w:szCs w:val="22"/>
                </w:rPr>
                <m:t>β</m:t>
              </m:r>
            </m:e>
            <m:sub>
              <m:r>
                <m:rPr>
                  <m:sty m:val="p"/>
                </m:rPr>
                <w:rPr>
                  <w:rFonts w:ascii="Cambria Math" w:hAnsi="Cambria Math"/>
                  <w:szCs w:val="22"/>
                </w:rPr>
                <m:t>2</m:t>
              </m:r>
            </m:sub>
          </m:sSub>
          <m:sSub>
            <m:sSubPr>
              <m:ctrlPr>
                <w:rPr>
                  <w:rFonts w:ascii="Cambria Math" w:hAnsi="Cambria Math"/>
                  <w:szCs w:val="22"/>
                </w:rPr>
              </m:ctrlPr>
            </m:sSubPr>
            <m:e>
              <m:r>
                <w:rPr>
                  <w:rFonts w:ascii="Cambria Math" w:hAnsi="Cambria Math"/>
                  <w:szCs w:val="22"/>
                </w:rPr>
                <m:t>MarketCs</m:t>
              </m:r>
            </m:e>
            <m:sub>
              <m:r>
                <w:rPr>
                  <w:rFonts w:ascii="Cambria Math" w:hAnsi="Cambria Math"/>
                  <w:szCs w:val="22"/>
                </w:rPr>
                <m:t>jt</m:t>
              </m:r>
            </m:sub>
          </m:sSub>
          <m:r>
            <m:rPr>
              <m:sty m:val="p"/>
            </m:rPr>
            <w:rPr>
              <w:rFonts w:ascii="Cambria Math" w:hAnsi="Cambria Math"/>
              <w:szCs w:val="22"/>
            </w:rPr>
            <m:t>+</m:t>
          </m:r>
          <m:sSub>
            <m:sSubPr>
              <m:ctrlPr>
                <w:rPr>
                  <w:rFonts w:ascii="Cambria Math" w:hAnsi="Cambria Math"/>
                  <w:szCs w:val="22"/>
                </w:rPr>
              </m:ctrlPr>
            </m:sSubPr>
            <m:e>
              <m:r>
                <w:rPr>
                  <w:rFonts w:ascii="Cambria Math" w:hAnsi="Cambria Math"/>
                  <w:szCs w:val="22"/>
                </w:rPr>
                <m:t>β</m:t>
              </m:r>
            </m:e>
            <m:sub>
              <m:r>
                <m:rPr>
                  <m:sty m:val="p"/>
                </m:rPr>
                <w:rPr>
                  <w:rFonts w:ascii="Cambria Math" w:hAnsi="Cambria Math"/>
                  <w:szCs w:val="22"/>
                </w:rPr>
                <m:t>3</m:t>
              </m:r>
            </m:sub>
          </m:sSub>
          <m:sSub>
            <m:sSubPr>
              <m:ctrlPr>
                <w:rPr>
                  <w:rFonts w:ascii="Cambria Math" w:hAnsi="Cambria Math"/>
                  <w:szCs w:val="22"/>
                </w:rPr>
              </m:ctrlPr>
            </m:sSubPr>
            <m:e>
              <m:r>
                <w:rPr>
                  <w:rFonts w:ascii="Cambria Math" w:hAnsi="Cambria Math"/>
                  <w:szCs w:val="22"/>
                </w:rPr>
                <m:t>Controls</m:t>
              </m:r>
            </m:e>
            <m:sub>
              <m:r>
                <w:rPr>
                  <w:rFonts w:ascii="Cambria Math" w:hAnsi="Cambria Math"/>
                  <w:szCs w:val="22"/>
                </w:rPr>
                <m:t>jt</m:t>
              </m:r>
              <m:r>
                <m:rPr>
                  <m:sty m:val="p"/>
                </m:rPr>
                <w:rPr>
                  <w:rFonts w:ascii="Cambria Math" w:hAnsi="Cambria Math"/>
                  <w:szCs w:val="22"/>
                </w:rPr>
                <m:t>-1</m:t>
              </m:r>
            </m:sub>
          </m:sSub>
          <m:r>
            <m:rPr>
              <m:sty m:val="p"/>
            </m:rPr>
            <w:rPr>
              <w:rFonts w:ascii="Cambria Math" w:hAnsi="Cambria Math"/>
              <w:szCs w:val="22"/>
            </w:rPr>
            <m:t>+</m:t>
          </m:r>
          <m:sSub>
            <m:sSubPr>
              <m:ctrlPr>
                <w:rPr>
                  <w:rFonts w:ascii="Cambria Math" w:hAnsi="Cambria Math"/>
                  <w:szCs w:val="22"/>
                </w:rPr>
              </m:ctrlPr>
            </m:sSubPr>
            <m:e>
              <m:r>
                <w:rPr>
                  <w:rFonts w:ascii="Cambria Math" w:hAnsi="Cambria Math"/>
                  <w:szCs w:val="22"/>
                </w:rPr>
                <m:t>ϵ</m:t>
              </m:r>
            </m:e>
            <m:sub>
              <m:r>
                <w:rPr>
                  <w:rFonts w:ascii="Cambria Math" w:hAnsi="Cambria Math"/>
                  <w:szCs w:val="22"/>
                </w:rPr>
                <m:t>ijt</m:t>
              </m:r>
            </m:sub>
          </m:sSub>
        </m:oMath>
      </m:oMathPara>
      <w:bookmarkStart w:id="32" w:name="equation1"/>
      <w:bookmarkEnd w:id="32"/>
    </w:p>
    <w:p w:rsidR="00310AF0" w:rsidRPr="00310AF0" w:rsidRDefault="00310AF0" w:rsidP="00E314F0">
      <w:pPr>
        <w:keepNext w:val="0"/>
        <w:widowControl w:val="0"/>
        <w:spacing w:after="0"/>
        <w:jc w:val="center"/>
        <w:rPr>
          <w:rFonts w:eastAsiaTheme="minorEastAsia"/>
          <w:szCs w:val="22"/>
        </w:rPr>
      </w:pPr>
    </w:p>
    <w:p w:rsidR="00B710E3" w:rsidRPr="00B710E3" w:rsidRDefault="00B710E3" w:rsidP="00E314F0">
      <w:pPr>
        <w:keepNext w:val="0"/>
        <w:widowControl w:val="0"/>
        <w:rPr>
          <w:rFonts w:eastAsia="SimSun"/>
        </w:rPr>
      </w:pPr>
      <w:r w:rsidRPr="00B710E3">
        <w:rPr>
          <w:rFonts w:eastAsia="SimSun"/>
        </w:rPr>
        <w:lastRenderedPageBreak/>
        <w:t xml:space="preserve">The dependent variable equals one if firm </w:t>
      </w:r>
      <w:proofErr w:type="spellStart"/>
      <w:r w:rsidRPr="00B710E3">
        <w:rPr>
          <w:rFonts w:eastAsia="SimSun"/>
          <w:i/>
          <w:iCs/>
        </w:rPr>
        <w:t>i</w:t>
      </w:r>
      <w:proofErr w:type="spellEnd"/>
      <w:r w:rsidRPr="00B710E3">
        <w:rPr>
          <w:rFonts w:eastAsia="SimSun"/>
        </w:rPr>
        <w:t xml:space="preserve"> exported a new product to market </w:t>
      </w:r>
      <w:r w:rsidRPr="00B710E3">
        <w:rPr>
          <w:rFonts w:eastAsia="SimSun"/>
          <w:i/>
          <w:iCs/>
        </w:rPr>
        <w:t xml:space="preserve">j </w:t>
      </w:r>
      <w:r w:rsidRPr="00B710E3">
        <w:rPr>
          <w:rFonts w:eastAsia="SimSun"/>
        </w:rPr>
        <w:t xml:space="preserve">in time </w:t>
      </w:r>
      <w:r w:rsidRPr="00B710E3">
        <w:rPr>
          <w:rFonts w:eastAsia="SimSun"/>
          <w:i/>
          <w:iCs/>
        </w:rPr>
        <w:t xml:space="preserve">t, </w:t>
      </w:r>
      <w:r w:rsidR="00F6217D">
        <w:rPr>
          <w:rFonts w:eastAsia="SimSun"/>
        </w:rPr>
        <w:t xml:space="preserve">and </w:t>
      </w:r>
      <w:r w:rsidRPr="00B710E3">
        <w:rPr>
          <w:rFonts w:eastAsia="SimSun"/>
        </w:rPr>
        <w:t>zero otherwise</w:t>
      </w:r>
      <w:r w:rsidRPr="00B710E3">
        <w:rPr>
          <w:rFonts w:eastAsia="SimSun"/>
          <w:i/>
          <w:iCs/>
        </w:rPr>
        <w:t xml:space="preserve">. </w:t>
      </w:r>
      <w:r w:rsidRPr="00B710E3">
        <w:rPr>
          <w:rFonts w:eastAsia="SimSun"/>
        </w:rPr>
        <w:t xml:space="preserve"> Firm characteristics include exporter size and its experience in market </w:t>
      </w:r>
      <w:r w:rsidRPr="00B710E3">
        <w:rPr>
          <w:rFonts w:eastAsia="SimSun"/>
          <w:i/>
          <w:iCs/>
        </w:rPr>
        <w:t>j</w:t>
      </w:r>
      <w:r w:rsidR="00AF7349">
        <w:rPr>
          <w:rFonts w:eastAsia="SimSun"/>
        </w:rPr>
        <w:t xml:space="preserve">. Exporter size is measured </w:t>
      </w:r>
      <w:r w:rsidRPr="00B710E3">
        <w:rPr>
          <w:rFonts w:eastAsia="SimSun"/>
        </w:rPr>
        <w:t xml:space="preserve">by the sales (in log) in </w:t>
      </w:r>
      <w:r w:rsidRPr="00B710E3">
        <w:rPr>
          <w:rFonts w:eastAsia="SimSun"/>
          <w:i/>
          <w:iCs/>
        </w:rPr>
        <w:t xml:space="preserve">t-1 </w:t>
      </w:r>
      <w:r w:rsidRPr="00B710E3">
        <w:rPr>
          <w:rFonts w:eastAsia="SimSun"/>
        </w:rPr>
        <w:t xml:space="preserve">while market experience is </w:t>
      </w:r>
      <w:proofErr w:type="spellStart"/>
      <w:r w:rsidRPr="00B710E3">
        <w:rPr>
          <w:rFonts w:eastAsia="SimSun"/>
        </w:rPr>
        <w:t>proxied</w:t>
      </w:r>
      <w:proofErr w:type="spellEnd"/>
      <w:r w:rsidRPr="00B710E3">
        <w:rPr>
          <w:rFonts w:eastAsia="SimSun"/>
        </w:rPr>
        <w:t xml:space="preserve"> by a dummy that equals one if firm </w:t>
      </w:r>
      <w:proofErr w:type="spellStart"/>
      <w:r w:rsidRPr="00B710E3">
        <w:rPr>
          <w:rFonts w:eastAsia="SimSun"/>
          <w:i/>
          <w:iCs/>
        </w:rPr>
        <w:t>i</w:t>
      </w:r>
      <w:proofErr w:type="spellEnd"/>
      <w:r w:rsidRPr="00B710E3">
        <w:rPr>
          <w:rFonts w:eastAsia="SimSun"/>
        </w:rPr>
        <w:t xml:space="preserve"> had a previous</w:t>
      </w:r>
      <w:r w:rsidR="00013BA0">
        <w:rPr>
          <w:rFonts w:eastAsia="SimSun"/>
        </w:rPr>
        <w:t xml:space="preserve"> </w:t>
      </w:r>
      <w:r w:rsidR="00013BA0" w:rsidRPr="00B710E3">
        <w:rPr>
          <w:rFonts w:eastAsia="SimSun"/>
        </w:rPr>
        <w:t xml:space="preserve">(i.e. in </w:t>
      </w:r>
      <w:r w:rsidR="00013BA0" w:rsidRPr="00B710E3">
        <w:rPr>
          <w:rFonts w:eastAsia="SimSun"/>
          <w:i/>
          <w:iCs/>
        </w:rPr>
        <w:t>t-1</w:t>
      </w:r>
      <w:r w:rsidR="00013BA0">
        <w:rPr>
          <w:rFonts w:eastAsia="SimSun"/>
        </w:rPr>
        <w:t xml:space="preserve">) </w:t>
      </w:r>
      <w:r w:rsidRPr="00B710E3">
        <w:rPr>
          <w:rFonts w:eastAsia="SimSun"/>
        </w:rPr>
        <w:t xml:space="preserve">export experience in market  </w:t>
      </w:r>
      <w:r w:rsidRPr="00B710E3">
        <w:rPr>
          <w:rFonts w:eastAsia="SimSun"/>
          <w:i/>
          <w:iCs/>
        </w:rPr>
        <w:t>j</w:t>
      </w:r>
      <w:r w:rsidR="00013BA0" w:rsidRPr="00013BA0">
        <w:rPr>
          <w:rFonts w:eastAsia="SimSun"/>
          <w:iCs/>
        </w:rPr>
        <w:t>.</w:t>
      </w:r>
      <w:r w:rsidRPr="00B710E3">
        <w:rPr>
          <w:rFonts w:eastAsia="SimSun"/>
          <w:i/>
          <w:iCs/>
        </w:rPr>
        <w:t xml:space="preserve"> </w:t>
      </w:r>
      <w:r w:rsidR="0013712D">
        <w:rPr>
          <w:rFonts w:eastAsia="SimSun"/>
        </w:rPr>
        <w:t xml:space="preserve">Besides, the expertise an exporter can acquired through experience, </w:t>
      </w:r>
      <w:r w:rsidR="0060751D">
        <w:rPr>
          <w:rFonts w:eastAsia="SimSun"/>
        </w:rPr>
        <w:t xml:space="preserve">this latter </w:t>
      </w:r>
      <w:r w:rsidR="0013712D">
        <w:rPr>
          <w:rFonts w:eastAsia="SimSun"/>
        </w:rPr>
        <w:t>could help exporters getting f</w:t>
      </w:r>
      <w:r w:rsidR="00CB24F2">
        <w:rPr>
          <w:rFonts w:eastAsia="SimSun"/>
        </w:rPr>
        <w:t>unding</w:t>
      </w:r>
      <w:r w:rsidR="0013712D">
        <w:rPr>
          <w:rFonts w:eastAsia="SimSun"/>
        </w:rPr>
        <w:t xml:space="preserve"> </w:t>
      </w:r>
      <w:r w:rsidR="008E1305" w:rsidRPr="00F711CF">
        <w:rPr>
          <w:rFonts w:eastAsia="SimSun"/>
        </w:rPr>
        <w:t>t</w:t>
      </w:r>
      <w:r w:rsidR="00F711CF">
        <w:rPr>
          <w:rFonts w:eastAsia="SimSun"/>
        </w:rPr>
        <w:t xml:space="preserve">o implement </w:t>
      </w:r>
      <w:r w:rsidR="00FE4D69">
        <w:rPr>
          <w:rFonts w:eastAsia="SimSun"/>
        </w:rPr>
        <w:t>their plans</w:t>
      </w:r>
      <w:r w:rsidR="00D25595" w:rsidRPr="00F711CF">
        <w:rPr>
          <w:rFonts w:eastAsia="SimSun"/>
        </w:rPr>
        <w:t xml:space="preserve"> o</w:t>
      </w:r>
      <w:r w:rsidR="00D25595">
        <w:rPr>
          <w:rFonts w:eastAsia="SimSun"/>
        </w:rPr>
        <w:t xml:space="preserve">f product </w:t>
      </w:r>
      <w:r w:rsidR="004C7ECE">
        <w:rPr>
          <w:rFonts w:eastAsia="SimSun"/>
        </w:rPr>
        <w:t xml:space="preserve">or market </w:t>
      </w:r>
      <w:r w:rsidR="00D25595">
        <w:rPr>
          <w:rFonts w:eastAsia="SimSun"/>
        </w:rPr>
        <w:t>expansion</w:t>
      </w:r>
      <w:r w:rsidR="00CB24F2">
        <w:rPr>
          <w:rFonts w:eastAsia="SimSun"/>
        </w:rPr>
        <w:t xml:space="preserve">. </w:t>
      </w:r>
      <w:r w:rsidR="005300E5">
        <w:rPr>
          <w:rFonts w:eastAsia="SimSun"/>
        </w:rPr>
        <w:t>Indeed, f</w:t>
      </w:r>
      <w:r w:rsidR="0013712D" w:rsidRPr="0013712D">
        <w:rPr>
          <w:rFonts w:eastAsia="SimSun"/>
        </w:rPr>
        <w:t>inancial institutions in Mali may be better disposed towards financing exporters that are active in a given country and present a good track record.</w:t>
      </w:r>
    </w:p>
    <w:p w:rsidR="00B710E3" w:rsidRPr="00B710E3" w:rsidRDefault="00B710E3" w:rsidP="00E314F0">
      <w:pPr>
        <w:keepNext w:val="0"/>
        <w:widowControl w:val="0"/>
        <w:rPr>
          <w:rFonts w:eastAsia="SimSun"/>
        </w:rPr>
      </w:pPr>
      <w:r w:rsidRPr="00B710E3">
        <w:rPr>
          <w:rFonts w:eastAsia="SimSun"/>
        </w:rPr>
        <w:t>We introduce two other firm characteristics, n</w:t>
      </w:r>
      <w:bookmarkStart w:id="33" w:name="_GoBack"/>
      <w:bookmarkEnd w:id="33"/>
      <w:r w:rsidRPr="00B710E3">
        <w:rPr>
          <w:rFonts w:eastAsia="SimSun"/>
        </w:rPr>
        <w:t xml:space="preserve">amely the number of products and the number of markets that a firm respectively exported and served in </w:t>
      </w:r>
      <w:r w:rsidRPr="00B710E3">
        <w:rPr>
          <w:rFonts w:eastAsia="SimSun"/>
          <w:i/>
          <w:iCs/>
        </w:rPr>
        <w:t>t-1</w:t>
      </w:r>
      <w:r w:rsidRPr="00B710E3">
        <w:rPr>
          <w:rFonts w:eastAsia="SimSun"/>
        </w:rPr>
        <w:t xml:space="preserve">. Thanks to their experience in managing different products and markets, multi-product and multi-market firms may find easier to introduce another product in a given market. </w:t>
      </w:r>
      <w:r w:rsidR="006150C9">
        <w:rPr>
          <w:rFonts w:eastAsia="SimSun"/>
        </w:rPr>
        <w:t>As mentioned before, t</w:t>
      </w:r>
      <w:r w:rsidRPr="00B710E3">
        <w:rPr>
          <w:rFonts w:eastAsia="SimSun"/>
        </w:rPr>
        <w:t xml:space="preserve">his variable could also reflect firm’s productivity. </w:t>
      </w:r>
      <w:r w:rsidR="00F367D2">
        <w:rPr>
          <w:rFonts w:eastAsia="SimSun"/>
        </w:rPr>
        <w:t>Indeed, a</w:t>
      </w:r>
      <w:r w:rsidRPr="00B710E3">
        <w:rPr>
          <w:rFonts w:eastAsia="SimSun"/>
        </w:rPr>
        <w:t xml:space="preserve">ccording </w:t>
      </w:r>
      <w:r w:rsidR="00086E38" w:rsidRPr="00B710E3">
        <w:rPr>
          <w:rFonts w:eastAsia="SimSun"/>
        </w:rPr>
        <w:t>to recent</w:t>
      </w:r>
      <w:r w:rsidRPr="00B710E3">
        <w:rPr>
          <w:rFonts w:eastAsia="SimSun"/>
        </w:rPr>
        <w:t xml:space="preserve"> st</w:t>
      </w:r>
      <w:r w:rsidR="006150C9">
        <w:rPr>
          <w:rFonts w:eastAsia="SimSun"/>
        </w:rPr>
        <w:t>udies (Bernard et al. 2007; 2010</w:t>
      </w:r>
      <w:r w:rsidRPr="00B710E3">
        <w:rPr>
          <w:rFonts w:eastAsia="SimSun"/>
        </w:rPr>
        <w:t>) most productive firms show the largest number of products and markets.</w:t>
      </w:r>
      <w:r w:rsidR="00F6217D" w:rsidRPr="00B710E3">
        <w:rPr>
          <w:rFonts w:eastAsia="SimSun"/>
          <w:vertAlign w:val="superscript"/>
        </w:rPr>
        <w:footnoteReference w:id="32"/>
      </w:r>
      <w:r w:rsidRPr="00B710E3">
        <w:rPr>
          <w:rFonts w:eastAsia="SimSun"/>
        </w:rPr>
        <w:t xml:space="preserve">  </w:t>
      </w:r>
    </w:p>
    <w:p w:rsidR="00B710E3" w:rsidRPr="00B710E3" w:rsidRDefault="00B710E3" w:rsidP="00E314F0">
      <w:pPr>
        <w:keepNext w:val="0"/>
        <w:widowControl w:val="0"/>
        <w:rPr>
          <w:rFonts w:eastAsia="SimSun"/>
        </w:rPr>
      </w:pPr>
      <w:r w:rsidRPr="00B710E3">
        <w:rPr>
          <w:rFonts w:eastAsia="SimSun"/>
        </w:rPr>
        <w:t xml:space="preserve">We also add the number of firms exporting to market </w:t>
      </w:r>
      <w:r w:rsidRPr="00B710E3">
        <w:rPr>
          <w:rFonts w:eastAsia="SimSun"/>
          <w:i/>
          <w:iCs/>
        </w:rPr>
        <w:t>j</w:t>
      </w:r>
      <w:r w:rsidRPr="00B710E3">
        <w:rPr>
          <w:rFonts w:eastAsia="SimSun"/>
        </w:rPr>
        <w:t xml:space="preserve"> in </w:t>
      </w:r>
      <w:r w:rsidRPr="00B710E3">
        <w:rPr>
          <w:rFonts w:eastAsia="SimSun"/>
          <w:i/>
          <w:iCs/>
        </w:rPr>
        <w:t>t-1</w:t>
      </w:r>
      <w:r w:rsidRPr="00B710E3">
        <w:rPr>
          <w:rFonts w:eastAsia="SimSun"/>
        </w:rPr>
        <w:t xml:space="preserve"> as a proxy for information spillovers. The existence of other Malian exporters in market </w:t>
      </w:r>
      <w:r w:rsidRPr="00B710E3">
        <w:rPr>
          <w:rFonts w:eastAsia="SimSun"/>
          <w:i/>
          <w:iCs/>
        </w:rPr>
        <w:t xml:space="preserve">j </w:t>
      </w:r>
      <w:r w:rsidRPr="00B710E3">
        <w:rPr>
          <w:rFonts w:eastAsia="SimSun"/>
        </w:rPr>
        <w:t>could reduce export uncertainty (</w:t>
      </w:r>
      <w:proofErr w:type="spellStart"/>
      <w:r w:rsidRPr="00B710E3">
        <w:rPr>
          <w:rFonts w:eastAsia="SimSun"/>
        </w:rPr>
        <w:t>Nicita</w:t>
      </w:r>
      <w:proofErr w:type="spellEnd"/>
      <w:r w:rsidRPr="00B710E3">
        <w:rPr>
          <w:rFonts w:eastAsia="SimSun"/>
        </w:rPr>
        <w:t xml:space="preserve"> et. al, 2003). On the exporter side, Malian firms may find it easier to approach buyers and establish business </w:t>
      </w:r>
      <w:r w:rsidRPr="00D25595">
        <w:rPr>
          <w:rFonts w:eastAsia="SimSun"/>
        </w:rPr>
        <w:t>relationships in countries where Malian exporters are already active.</w:t>
      </w:r>
      <w:r w:rsidRPr="00D25595">
        <w:rPr>
          <w:rFonts w:eastAsia="SimSun"/>
          <w:vertAlign w:val="superscript"/>
        </w:rPr>
        <w:footnoteReference w:id="33"/>
      </w:r>
      <w:r w:rsidRPr="00D25595">
        <w:rPr>
          <w:rFonts w:eastAsia="SimSun"/>
        </w:rPr>
        <w:t xml:space="preserve"> On the importer end, buyers already familiar with Mali</w:t>
      </w:r>
      <w:r w:rsidR="00892672" w:rsidRPr="00D25595">
        <w:rPr>
          <w:rFonts w:eastAsia="SimSun"/>
        </w:rPr>
        <w:t>an suppliers an</w:t>
      </w:r>
      <w:r w:rsidR="0013712D" w:rsidRPr="00D25595">
        <w:rPr>
          <w:rFonts w:eastAsia="SimSun"/>
        </w:rPr>
        <w:t>d products are likely to be</w:t>
      </w:r>
      <w:r w:rsidR="00892672" w:rsidRPr="00D25595">
        <w:rPr>
          <w:rFonts w:eastAsia="SimSun"/>
        </w:rPr>
        <w:t xml:space="preserve"> willing to do further </w:t>
      </w:r>
      <w:r w:rsidRPr="00D25595">
        <w:rPr>
          <w:rFonts w:eastAsia="SimSun"/>
        </w:rPr>
        <w:t>bus</w:t>
      </w:r>
      <w:r w:rsidR="00953D9E" w:rsidRPr="00D25595">
        <w:rPr>
          <w:rFonts w:eastAsia="SimSun"/>
        </w:rPr>
        <w:t>iness with Malian firms. T</w:t>
      </w:r>
      <w:r w:rsidRPr="00D25595">
        <w:rPr>
          <w:rFonts w:eastAsia="SimSun"/>
        </w:rPr>
        <w:t>he number of exporters in a market may be also seen as a sign of profitability and attract other exporters. It can therefore capture market attractiveness.</w:t>
      </w:r>
      <w:r w:rsidRPr="00B710E3">
        <w:rPr>
          <w:rFonts w:eastAsia="SimSun"/>
        </w:rPr>
        <w:t xml:space="preserve"> </w:t>
      </w:r>
    </w:p>
    <w:p w:rsidR="00B710E3" w:rsidRPr="00B710E3" w:rsidRDefault="00B710E3" w:rsidP="00E314F0">
      <w:pPr>
        <w:keepNext w:val="0"/>
        <w:widowControl w:val="0"/>
        <w:rPr>
          <w:rFonts w:eastAsia="SimSun"/>
        </w:rPr>
      </w:pPr>
      <w:r w:rsidRPr="00B710E3">
        <w:rPr>
          <w:rFonts w:eastAsia="SimSun"/>
        </w:rPr>
        <w:t xml:space="preserve">As for the market characteristics, we include the distance to market </w:t>
      </w:r>
      <w:r w:rsidRPr="00B710E3">
        <w:rPr>
          <w:rFonts w:eastAsia="SimSun"/>
          <w:i/>
          <w:iCs/>
        </w:rPr>
        <w:t xml:space="preserve">j </w:t>
      </w:r>
      <w:r w:rsidRPr="00B710E3">
        <w:rPr>
          <w:rFonts w:eastAsia="SimSun"/>
        </w:rPr>
        <w:t xml:space="preserve">(in log) as a proxy for transport costs and the GDP per capita (in log). GDP per capita is an indicator of consumers’ affluence and sophistication. Finally, an interaction term between exporter size and distance is included. The purpose is to evaluate whether the effect of distance varies with the exporter size. A positive coefficient for the interaction term would imply that distance is less of a constraint for larger exporters.  To control for other period and </w:t>
      </w:r>
      <w:r w:rsidR="004520A3">
        <w:rPr>
          <w:rFonts w:eastAsia="SimSun"/>
        </w:rPr>
        <w:t xml:space="preserve">product </w:t>
      </w:r>
      <w:r w:rsidRPr="00B710E3">
        <w:rPr>
          <w:rFonts w:eastAsia="SimSun"/>
        </w:rPr>
        <w:t xml:space="preserve">non-observables, we include time and </w:t>
      </w:r>
      <w:r w:rsidR="004520A3">
        <w:rPr>
          <w:rFonts w:eastAsia="SimSun"/>
        </w:rPr>
        <w:t xml:space="preserve">product </w:t>
      </w:r>
      <w:r w:rsidRPr="00B710E3">
        <w:rPr>
          <w:rFonts w:eastAsia="SimSun"/>
        </w:rPr>
        <w:t xml:space="preserve">(HS 2-digit) fixed effects. The latter corresponds to the main sector in which a firm operates.  </w:t>
      </w:r>
    </w:p>
    <w:p w:rsidR="001315A1" w:rsidRPr="001315A1" w:rsidRDefault="00B710E3" w:rsidP="00E314F0">
      <w:pPr>
        <w:keepNext w:val="0"/>
        <w:widowControl w:val="0"/>
        <w:rPr>
          <w:rFonts w:eastAsia="SimSun"/>
        </w:rPr>
      </w:pPr>
      <w:r w:rsidRPr="00B710E3">
        <w:rPr>
          <w:rFonts w:eastAsia="SimSun"/>
        </w:rPr>
        <w:t>For our estimation, we use a linear probability model.</w:t>
      </w:r>
      <w:r w:rsidRPr="00B710E3">
        <w:rPr>
          <w:rFonts w:eastAsia="SimSun"/>
          <w:vertAlign w:val="superscript"/>
        </w:rPr>
        <w:footnoteReference w:id="34"/>
      </w:r>
      <w:r w:rsidRPr="00B710E3">
        <w:rPr>
          <w:rFonts w:eastAsia="SimSun"/>
        </w:rPr>
        <w:t xml:space="preserve"> Results are reported in </w:t>
      </w:r>
      <w:fldSimple w:instr=" REF _Ref281513113 \h  \* MERGEFORMAT ">
        <w:r w:rsidR="000610DD" w:rsidRPr="000610DD">
          <w:rPr>
            <w:rFonts w:eastAsia="SimSun"/>
          </w:rPr>
          <w:t>Table 2</w:t>
        </w:r>
      </w:fldSimple>
      <w:r w:rsidRPr="00B710E3">
        <w:rPr>
          <w:rFonts w:eastAsia="SimSun"/>
        </w:rPr>
        <w:t>. Three specifications are considered. The first one includes firm characteristics. The second one adds market characteristics and the information spillover variable. The last one includes the interaction term between exporter size and distance</w:t>
      </w:r>
      <w:r w:rsidR="001315A1" w:rsidRPr="007E4CC0">
        <w:rPr>
          <w:rFonts w:eastAsia="SimSun"/>
        </w:rPr>
        <w:t>.</w:t>
      </w:r>
    </w:p>
    <w:p w:rsidR="001018AF" w:rsidRPr="001018AF" w:rsidRDefault="008F3393" w:rsidP="00E314F0">
      <w:pPr>
        <w:pStyle w:val="Lgende"/>
        <w:keepNext w:val="0"/>
        <w:widowControl w:val="0"/>
        <w:jc w:val="left"/>
        <w:rPr>
          <w:rFonts w:cs="Times New Roman"/>
        </w:rPr>
      </w:pPr>
      <w:bookmarkStart w:id="34" w:name="_Ref281513113"/>
      <w:r w:rsidRPr="008F3393">
        <w:rPr>
          <w:rFonts w:cs="Times New Roman"/>
        </w:rPr>
        <w:t xml:space="preserve">Table </w:t>
      </w:r>
      <w:r w:rsidR="000522C4" w:rsidRPr="008F3393">
        <w:rPr>
          <w:rFonts w:cs="Times New Roman"/>
        </w:rPr>
        <w:fldChar w:fldCharType="begin"/>
      </w:r>
      <w:r w:rsidRPr="008F3393">
        <w:rPr>
          <w:rFonts w:cs="Times New Roman"/>
        </w:rPr>
        <w:instrText xml:space="preserve"> SEQ Table \* ARABIC </w:instrText>
      </w:r>
      <w:r w:rsidR="000522C4" w:rsidRPr="008F3393">
        <w:rPr>
          <w:rFonts w:cs="Times New Roman"/>
        </w:rPr>
        <w:fldChar w:fldCharType="separate"/>
      </w:r>
      <w:r w:rsidR="000610DD">
        <w:rPr>
          <w:rFonts w:cs="Times New Roman"/>
          <w:noProof/>
        </w:rPr>
        <w:t>2</w:t>
      </w:r>
      <w:r w:rsidR="000522C4" w:rsidRPr="008F3393">
        <w:rPr>
          <w:rFonts w:cs="Times New Roman"/>
        </w:rPr>
        <w:fldChar w:fldCharType="end"/>
      </w:r>
      <w:bookmarkEnd w:id="34"/>
      <w:r w:rsidRPr="008F3393">
        <w:rPr>
          <w:rFonts w:cs="Times New Roman"/>
        </w:rPr>
        <w:t xml:space="preserve">: </w:t>
      </w:r>
      <w:r w:rsidR="00C80C3B" w:rsidRPr="00C80C3B">
        <w:rPr>
          <w:rFonts w:cs="Times New Roman"/>
        </w:rPr>
        <w:t>Probability to introduce a new product (Linear Probability Model)</w:t>
      </w:r>
    </w:p>
    <w:tbl>
      <w:tblPr>
        <w:tblW w:w="7220" w:type="dxa"/>
        <w:jc w:val="center"/>
        <w:tblInd w:w="55" w:type="dxa"/>
        <w:tblCellMar>
          <w:left w:w="70" w:type="dxa"/>
          <w:right w:w="70" w:type="dxa"/>
        </w:tblCellMar>
        <w:tblLook w:val="04A0"/>
      </w:tblPr>
      <w:tblGrid>
        <w:gridCol w:w="3500"/>
        <w:gridCol w:w="1240"/>
        <w:gridCol w:w="1240"/>
        <w:gridCol w:w="1240"/>
      </w:tblGrid>
      <w:tr w:rsidR="00C43198" w:rsidRPr="00C43198" w:rsidTr="00C43198">
        <w:trPr>
          <w:trHeight w:val="300"/>
          <w:jc w:val="center"/>
        </w:trPr>
        <w:tc>
          <w:tcPr>
            <w:tcW w:w="3500" w:type="dxa"/>
            <w:tcBorders>
              <w:top w:val="nil"/>
              <w:left w:val="nil"/>
              <w:bottom w:val="nil"/>
              <w:right w:val="nil"/>
            </w:tcBorders>
            <w:shd w:val="clear" w:color="auto" w:fill="auto"/>
            <w:noWrap/>
            <w:vAlign w:val="bottom"/>
            <w:hideMark/>
          </w:tcPr>
          <w:p w:rsidR="00C43198" w:rsidRPr="0017096B" w:rsidRDefault="00C43198" w:rsidP="00E314F0">
            <w:pPr>
              <w:keepNext w:val="0"/>
              <w:widowControl w:val="0"/>
              <w:spacing w:after="0" w:line="240" w:lineRule="auto"/>
              <w:jc w:val="left"/>
              <w:rPr>
                <w:rFonts w:ascii="Garamond" w:eastAsia="Times New Roman" w:hAnsi="Garamond" w:cs="Arial"/>
                <w:bCs w:val="0"/>
                <w:szCs w:val="22"/>
                <w:lang w:val="en-GB" w:eastAsia="fr-CH"/>
              </w:rPr>
            </w:pP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(1)</w:t>
            </w: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(2)</w:t>
            </w: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(3)</w:t>
            </w:r>
          </w:p>
        </w:tc>
      </w:tr>
      <w:tr w:rsidR="00C43198" w:rsidRPr="00C43198" w:rsidTr="00C43198">
        <w:trPr>
          <w:trHeight w:val="300"/>
          <w:jc w:val="center"/>
        </w:trPr>
        <w:tc>
          <w:tcPr>
            <w:tcW w:w="3500" w:type="dxa"/>
            <w:tcBorders>
              <w:top w:val="nil"/>
              <w:left w:val="nil"/>
              <w:bottom w:val="single" w:sz="4" w:space="0" w:color="auto"/>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variables</w:t>
            </w:r>
          </w:p>
        </w:tc>
        <w:tc>
          <w:tcPr>
            <w:tcW w:w="1240" w:type="dxa"/>
            <w:tcBorders>
              <w:top w:val="nil"/>
              <w:left w:val="nil"/>
              <w:bottom w:val="single" w:sz="4" w:space="0" w:color="auto"/>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proofErr w:type="spellStart"/>
            <w:r w:rsidRPr="00C43198">
              <w:rPr>
                <w:rFonts w:ascii="Garamond" w:eastAsia="Times New Roman" w:hAnsi="Garamond" w:cs="Arial"/>
                <w:bCs w:val="0"/>
                <w:szCs w:val="22"/>
                <w:lang w:val="fr-CH" w:eastAsia="fr-CH"/>
              </w:rPr>
              <w:t>new_prod</w:t>
            </w:r>
            <w:proofErr w:type="spellEnd"/>
          </w:p>
        </w:tc>
        <w:tc>
          <w:tcPr>
            <w:tcW w:w="1240" w:type="dxa"/>
            <w:tcBorders>
              <w:top w:val="nil"/>
              <w:left w:val="nil"/>
              <w:bottom w:val="single" w:sz="4" w:space="0" w:color="auto"/>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proofErr w:type="spellStart"/>
            <w:r w:rsidRPr="00C43198">
              <w:rPr>
                <w:rFonts w:ascii="Garamond" w:eastAsia="Times New Roman" w:hAnsi="Garamond" w:cs="Arial"/>
                <w:bCs w:val="0"/>
                <w:szCs w:val="22"/>
                <w:lang w:val="fr-CH" w:eastAsia="fr-CH"/>
              </w:rPr>
              <w:t>new_prod</w:t>
            </w:r>
            <w:proofErr w:type="spellEnd"/>
          </w:p>
        </w:tc>
        <w:tc>
          <w:tcPr>
            <w:tcW w:w="1240" w:type="dxa"/>
            <w:tcBorders>
              <w:top w:val="nil"/>
              <w:left w:val="nil"/>
              <w:bottom w:val="single" w:sz="4" w:space="0" w:color="auto"/>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proofErr w:type="spellStart"/>
            <w:r w:rsidRPr="00C43198">
              <w:rPr>
                <w:rFonts w:ascii="Garamond" w:eastAsia="Times New Roman" w:hAnsi="Garamond" w:cs="Arial"/>
                <w:bCs w:val="0"/>
                <w:szCs w:val="22"/>
                <w:lang w:val="fr-CH" w:eastAsia="fr-CH"/>
              </w:rPr>
              <w:t>new_prod</w:t>
            </w:r>
            <w:proofErr w:type="spellEnd"/>
          </w:p>
        </w:tc>
      </w:tr>
      <w:tr w:rsidR="00C43198" w:rsidRPr="00C43198" w:rsidTr="00C43198">
        <w:trPr>
          <w:trHeight w:val="300"/>
          <w:jc w:val="center"/>
        </w:trPr>
        <w:tc>
          <w:tcPr>
            <w:tcW w:w="350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left"/>
              <w:rPr>
                <w:rFonts w:ascii="Garamond" w:eastAsia="Times New Roman" w:hAnsi="Garamond" w:cs="Arial"/>
                <w:bCs w:val="0"/>
                <w:szCs w:val="22"/>
                <w:lang w:val="fr-CH" w:eastAsia="fr-CH"/>
              </w:rPr>
            </w:pPr>
            <w:proofErr w:type="spellStart"/>
            <w:r w:rsidRPr="00C43198">
              <w:rPr>
                <w:rFonts w:ascii="Garamond" w:eastAsia="Times New Roman" w:hAnsi="Garamond" w:cs="Arial"/>
                <w:bCs w:val="0"/>
                <w:szCs w:val="22"/>
                <w:lang w:val="fr-CH" w:eastAsia="fr-CH"/>
              </w:rPr>
              <w:t>market</w:t>
            </w:r>
            <w:proofErr w:type="spellEnd"/>
            <w:r w:rsidRPr="00C43198">
              <w:rPr>
                <w:rFonts w:ascii="Garamond" w:eastAsia="Times New Roman" w:hAnsi="Garamond" w:cs="Arial"/>
                <w:bCs w:val="0"/>
                <w:szCs w:val="22"/>
                <w:lang w:val="fr-CH" w:eastAsia="fr-CH"/>
              </w:rPr>
              <w:t xml:space="preserve"> </w:t>
            </w:r>
            <w:proofErr w:type="spellStart"/>
            <w:r w:rsidRPr="00C43198">
              <w:rPr>
                <w:rFonts w:ascii="Garamond" w:eastAsia="Times New Roman" w:hAnsi="Garamond" w:cs="Arial"/>
                <w:bCs w:val="0"/>
                <w:szCs w:val="22"/>
                <w:lang w:val="fr-CH" w:eastAsia="fr-CH"/>
              </w:rPr>
              <w:t>experience</w:t>
            </w:r>
            <w:proofErr w:type="spellEnd"/>
            <w:r w:rsidRPr="00C43198">
              <w:rPr>
                <w:rFonts w:ascii="Garamond" w:eastAsia="Times New Roman" w:hAnsi="Garamond" w:cs="Arial"/>
                <w:bCs w:val="0"/>
                <w:szCs w:val="22"/>
                <w:lang w:val="fr-CH" w:eastAsia="fr-CH"/>
              </w:rPr>
              <w:t xml:space="preserve"> (t-1)</w:t>
            </w: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0.287***</w:t>
            </w: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0.278***</w:t>
            </w: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0.233***</w:t>
            </w:r>
          </w:p>
        </w:tc>
      </w:tr>
      <w:tr w:rsidR="00C43198" w:rsidRPr="00C43198" w:rsidTr="00C43198">
        <w:trPr>
          <w:trHeight w:val="300"/>
          <w:jc w:val="center"/>
        </w:trPr>
        <w:tc>
          <w:tcPr>
            <w:tcW w:w="350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left"/>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(0.024)</w:t>
            </w: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(0.024)</w:t>
            </w: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(0.023)</w:t>
            </w:r>
          </w:p>
        </w:tc>
      </w:tr>
      <w:tr w:rsidR="00C43198" w:rsidRPr="00C43198" w:rsidTr="00C43198">
        <w:trPr>
          <w:trHeight w:val="300"/>
          <w:jc w:val="center"/>
        </w:trPr>
        <w:tc>
          <w:tcPr>
            <w:tcW w:w="350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left"/>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size (t-1), log</w:t>
            </w: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-0.001</w:t>
            </w: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-0.001</w:t>
            </w: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0.002</w:t>
            </w:r>
          </w:p>
        </w:tc>
      </w:tr>
      <w:tr w:rsidR="00C43198" w:rsidRPr="00C43198" w:rsidTr="00C43198">
        <w:trPr>
          <w:trHeight w:val="300"/>
          <w:jc w:val="center"/>
        </w:trPr>
        <w:tc>
          <w:tcPr>
            <w:tcW w:w="350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left"/>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(0.001)</w:t>
            </w: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(0.001)</w:t>
            </w: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(0.005)</w:t>
            </w:r>
          </w:p>
        </w:tc>
      </w:tr>
      <w:tr w:rsidR="00C43198" w:rsidRPr="00C43198" w:rsidTr="00C43198">
        <w:trPr>
          <w:trHeight w:val="300"/>
          <w:jc w:val="center"/>
        </w:trPr>
        <w:tc>
          <w:tcPr>
            <w:tcW w:w="3500" w:type="dxa"/>
            <w:tcBorders>
              <w:top w:val="nil"/>
              <w:left w:val="nil"/>
              <w:bottom w:val="nil"/>
              <w:right w:val="nil"/>
            </w:tcBorders>
            <w:shd w:val="clear" w:color="auto" w:fill="auto"/>
            <w:noWrap/>
            <w:vAlign w:val="bottom"/>
            <w:hideMark/>
          </w:tcPr>
          <w:p w:rsidR="00C43198" w:rsidRPr="0017096B" w:rsidRDefault="00C43198" w:rsidP="00E314F0">
            <w:pPr>
              <w:keepNext w:val="0"/>
              <w:widowControl w:val="0"/>
              <w:spacing w:after="0" w:line="240" w:lineRule="auto"/>
              <w:jc w:val="left"/>
              <w:rPr>
                <w:rFonts w:ascii="Garamond" w:eastAsia="Times New Roman" w:hAnsi="Garamond" w:cs="Arial"/>
                <w:bCs w:val="0"/>
                <w:szCs w:val="22"/>
                <w:lang w:val="en-GB" w:eastAsia="fr-CH"/>
              </w:rPr>
            </w:pPr>
            <w:proofErr w:type="spellStart"/>
            <w:r w:rsidRPr="0017096B">
              <w:rPr>
                <w:rFonts w:ascii="Garamond" w:eastAsia="Times New Roman" w:hAnsi="Garamond" w:cs="Arial"/>
                <w:bCs w:val="0"/>
                <w:szCs w:val="22"/>
                <w:lang w:val="en-GB" w:eastAsia="fr-CH"/>
              </w:rPr>
              <w:lastRenderedPageBreak/>
              <w:t>Nber</w:t>
            </w:r>
            <w:proofErr w:type="spellEnd"/>
            <w:r w:rsidRPr="0017096B">
              <w:rPr>
                <w:rFonts w:ascii="Garamond" w:eastAsia="Times New Roman" w:hAnsi="Garamond" w:cs="Arial"/>
                <w:bCs w:val="0"/>
                <w:szCs w:val="22"/>
                <w:lang w:val="en-GB" w:eastAsia="fr-CH"/>
              </w:rPr>
              <w:t xml:space="preserve"> of exported products (t-1)</w:t>
            </w: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0.001***</w:t>
            </w: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0.001***</w:t>
            </w: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0.001***</w:t>
            </w:r>
          </w:p>
        </w:tc>
      </w:tr>
      <w:tr w:rsidR="00C43198" w:rsidRPr="00C43198" w:rsidTr="00C43198">
        <w:trPr>
          <w:trHeight w:val="300"/>
          <w:jc w:val="center"/>
        </w:trPr>
        <w:tc>
          <w:tcPr>
            <w:tcW w:w="350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left"/>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(0.000)</w:t>
            </w: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(0.000)</w:t>
            </w: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(0.000)</w:t>
            </w:r>
          </w:p>
        </w:tc>
      </w:tr>
      <w:tr w:rsidR="00C43198" w:rsidRPr="00C43198" w:rsidTr="00C43198">
        <w:trPr>
          <w:trHeight w:val="300"/>
          <w:jc w:val="center"/>
        </w:trPr>
        <w:tc>
          <w:tcPr>
            <w:tcW w:w="350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left"/>
              <w:rPr>
                <w:rFonts w:ascii="Garamond" w:eastAsia="Times New Roman" w:hAnsi="Garamond" w:cs="Arial"/>
                <w:bCs w:val="0"/>
                <w:szCs w:val="22"/>
                <w:lang w:val="fr-CH" w:eastAsia="fr-CH"/>
              </w:rPr>
            </w:pPr>
            <w:proofErr w:type="spellStart"/>
            <w:r w:rsidRPr="00C43198">
              <w:rPr>
                <w:rFonts w:ascii="Garamond" w:eastAsia="Times New Roman" w:hAnsi="Garamond" w:cs="Arial"/>
                <w:bCs w:val="0"/>
                <w:szCs w:val="22"/>
                <w:lang w:val="fr-CH" w:eastAsia="fr-CH"/>
              </w:rPr>
              <w:t>Nber</w:t>
            </w:r>
            <w:proofErr w:type="spellEnd"/>
            <w:r w:rsidRPr="00C43198">
              <w:rPr>
                <w:rFonts w:ascii="Garamond" w:eastAsia="Times New Roman" w:hAnsi="Garamond" w:cs="Arial"/>
                <w:bCs w:val="0"/>
                <w:szCs w:val="22"/>
                <w:lang w:val="fr-CH" w:eastAsia="fr-CH"/>
              </w:rPr>
              <w:t xml:space="preserve"> of export destinations (t-1)</w:t>
            </w: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-0.000</w:t>
            </w: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0.000</w:t>
            </w: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0.001</w:t>
            </w:r>
          </w:p>
        </w:tc>
      </w:tr>
      <w:tr w:rsidR="00C43198" w:rsidRPr="00C43198" w:rsidTr="00C43198">
        <w:trPr>
          <w:trHeight w:val="300"/>
          <w:jc w:val="center"/>
        </w:trPr>
        <w:tc>
          <w:tcPr>
            <w:tcW w:w="350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left"/>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(0.001)</w:t>
            </w: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(0.001)</w:t>
            </w: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(0.001)</w:t>
            </w:r>
          </w:p>
        </w:tc>
      </w:tr>
      <w:tr w:rsidR="00C43198" w:rsidRPr="00C43198" w:rsidTr="00C43198">
        <w:trPr>
          <w:trHeight w:val="300"/>
          <w:jc w:val="center"/>
        </w:trPr>
        <w:tc>
          <w:tcPr>
            <w:tcW w:w="350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left"/>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GDP/capita (log)</w:t>
            </w: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0.002***</w:t>
            </w: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0.001</w:t>
            </w:r>
          </w:p>
        </w:tc>
      </w:tr>
      <w:tr w:rsidR="00C43198" w:rsidRPr="00C43198" w:rsidTr="00C43198">
        <w:trPr>
          <w:trHeight w:val="300"/>
          <w:jc w:val="center"/>
        </w:trPr>
        <w:tc>
          <w:tcPr>
            <w:tcW w:w="350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left"/>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(0.001)</w:t>
            </w: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(0.000)</w:t>
            </w:r>
          </w:p>
        </w:tc>
      </w:tr>
      <w:tr w:rsidR="00C43198" w:rsidRPr="00C43198" w:rsidTr="00C43198">
        <w:trPr>
          <w:trHeight w:val="300"/>
          <w:jc w:val="center"/>
        </w:trPr>
        <w:tc>
          <w:tcPr>
            <w:tcW w:w="350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left"/>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distance (log)</w:t>
            </w: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-0.015***</w:t>
            </w: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0.002</w:t>
            </w:r>
          </w:p>
        </w:tc>
      </w:tr>
      <w:tr w:rsidR="00C43198" w:rsidRPr="00C43198" w:rsidTr="00C43198">
        <w:trPr>
          <w:trHeight w:val="300"/>
          <w:jc w:val="center"/>
        </w:trPr>
        <w:tc>
          <w:tcPr>
            <w:tcW w:w="350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left"/>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(0.002)</w:t>
            </w: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(0.003)</w:t>
            </w:r>
          </w:p>
        </w:tc>
      </w:tr>
      <w:tr w:rsidR="00C43198" w:rsidRPr="00C43198" w:rsidTr="00C43198">
        <w:trPr>
          <w:trHeight w:val="300"/>
          <w:jc w:val="center"/>
        </w:trPr>
        <w:tc>
          <w:tcPr>
            <w:tcW w:w="3500" w:type="dxa"/>
            <w:tcBorders>
              <w:top w:val="nil"/>
              <w:left w:val="nil"/>
              <w:bottom w:val="nil"/>
              <w:right w:val="nil"/>
            </w:tcBorders>
            <w:shd w:val="clear" w:color="auto" w:fill="auto"/>
            <w:noWrap/>
            <w:vAlign w:val="bottom"/>
            <w:hideMark/>
          </w:tcPr>
          <w:p w:rsidR="00C43198" w:rsidRPr="0017096B" w:rsidRDefault="00C43198" w:rsidP="00E314F0">
            <w:pPr>
              <w:keepNext w:val="0"/>
              <w:widowControl w:val="0"/>
              <w:spacing w:after="0" w:line="240" w:lineRule="auto"/>
              <w:jc w:val="left"/>
              <w:rPr>
                <w:rFonts w:ascii="Garamond" w:eastAsia="Times New Roman" w:hAnsi="Garamond" w:cs="Arial"/>
                <w:bCs w:val="0"/>
                <w:szCs w:val="22"/>
                <w:lang w:val="en-GB" w:eastAsia="fr-CH"/>
              </w:rPr>
            </w:pPr>
            <w:proofErr w:type="spellStart"/>
            <w:r w:rsidRPr="0017096B">
              <w:rPr>
                <w:rFonts w:ascii="Garamond" w:eastAsia="Times New Roman" w:hAnsi="Garamond" w:cs="Arial"/>
                <w:bCs w:val="0"/>
                <w:szCs w:val="22"/>
                <w:lang w:val="en-GB" w:eastAsia="fr-CH"/>
              </w:rPr>
              <w:t>Nber</w:t>
            </w:r>
            <w:proofErr w:type="spellEnd"/>
            <w:r w:rsidRPr="0017096B">
              <w:rPr>
                <w:rFonts w:ascii="Garamond" w:eastAsia="Times New Roman" w:hAnsi="Garamond" w:cs="Arial"/>
                <w:bCs w:val="0"/>
                <w:szCs w:val="22"/>
                <w:lang w:val="en-GB" w:eastAsia="fr-CH"/>
              </w:rPr>
              <w:t xml:space="preserve"> of exporters, same market (t-1)</w:t>
            </w:r>
          </w:p>
        </w:tc>
        <w:tc>
          <w:tcPr>
            <w:tcW w:w="1240" w:type="dxa"/>
            <w:tcBorders>
              <w:top w:val="nil"/>
              <w:left w:val="nil"/>
              <w:bottom w:val="nil"/>
              <w:right w:val="nil"/>
            </w:tcBorders>
            <w:shd w:val="clear" w:color="auto" w:fill="auto"/>
            <w:noWrap/>
            <w:vAlign w:val="bottom"/>
            <w:hideMark/>
          </w:tcPr>
          <w:p w:rsidR="00C43198" w:rsidRPr="0017096B" w:rsidRDefault="00C43198" w:rsidP="00E314F0">
            <w:pPr>
              <w:keepNext w:val="0"/>
              <w:widowControl w:val="0"/>
              <w:spacing w:after="0" w:line="240" w:lineRule="auto"/>
              <w:jc w:val="center"/>
              <w:rPr>
                <w:rFonts w:ascii="Garamond" w:eastAsia="Times New Roman" w:hAnsi="Garamond" w:cs="Arial"/>
                <w:bCs w:val="0"/>
                <w:szCs w:val="22"/>
                <w:lang w:val="en-GB" w:eastAsia="fr-CH"/>
              </w:rPr>
            </w:pPr>
          </w:p>
        </w:tc>
        <w:tc>
          <w:tcPr>
            <w:tcW w:w="1240" w:type="dxa"/>
            <w:tcBorders>
              <w:top w:val="nil"/>
              <w:left w:val="nil"/>
              <w:bottom w:val="nil"/>
              <w:right w:val="nil"/>
            </w:tcBorders>
            <w:shd w:val="clear" w:color="auto" w:fill="auto"/>
            <w:noWrap/>
            <w:vAlign w:val="bottom"/>
            <w:hideMark/>
          </w:tcPr>
          <w:p w:rsidR="00C43198" w:rsidRPr="0017096B" w:rsidRDefault="00C43198" w:rsidP="00E314F0">
            <w:pPr>
              <w:keepNext w:val="0"/>
              <w:widowControl w:val="0"/>
              <w:spacing w:after="0" w:line="240" w:lineRule="auto"/>
              <w:jc w:val="center"/>
              <w:rPr>
                <w:rFonts w:ascii="Garamond" w:eastAsia="Times New Roman" w:hAnsi="Garamond" w:cs="Arial"/>
                <w:bCs w:val="0"/>
                <w:szCs w:val="22"/>
                <w:lang w:val="en-GB" w:eastAsia="fr-CH"/>
              </w:rPr>
            </w:pP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0.002***</w:t>
            </w:r>
          </w:p>
        </w:tc>
      </w:tr>
      <w:tr w:rsidR="00C43198" w:rsidRPr="00C43198" w:rsidTr="00C43198">
        <w:trPr>
          <w:trHeight w:val="300"/>
          <w:jc w:val="center"/>
        </w:trPr>
        <w:tc>
          <w:tcPr>
            <w:tcW w:w="350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left"/>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(0.000)</w:t>
            </w:r>
          </w:p>
        </w:tc>
      </w:tr>
      <w:tr w:rsidR="00C43198" w:rsidRPr="00C43198" w:rsidTr="00C43198">
        <w:trPr>
          <w:trHeight w:val="300"/>
          <w:jc w:val="center"/>
        </w:trPr>
        <w:tc>
          <w:tcPr>
            <w:tcW w:w="350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left"/>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size (t-1) x log distance</w:t>
            </w: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-0.000</w:t>
            </w:r>
          </w:p>
        </w:tc>
      </w:tr>
      <w:tr w:rsidR="00C43198" w:rsidRPr="00C43198" w:rsidTr="00C43198">
        <w:trPr>
          <w:trHeight w:val="300"/>
          <w:jc w:val="center"/>
        </w:trPr>
        <w:tc>
          <w:tcPr>
            <w:tcW w:w="350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left"/>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(0.001)</w:t>
            </w:r>
          </w:p>
        </w:tc>
      </w:tr>
      <w:tr w:rsidR="00C43198" w:rsidRPr="00C43198" w:rsidTr="00C43198">
        <w:trPr>
          <w:trHeight w:val="300"/>
          <w:jc w:val="center"/>
        </w:trPr>
        <w:tc>
          <w:tcPr>
            <w:tcW w:w="350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left"/>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p>
        </w:tc>
      </w:tr>
      <w:tr w:rsidR="00C43198" w:rsidRPr="00C43198" w:rsidTr="00C43198">
        <w:trPr>
          <w:trHeight w:val="300"/>
          <w:jc w:val="center"/>
        </w:trPr>
        <w:tc>
          <w:tcPr>
            <w:tcW w:w="3500" w:type="dxa"/>
            <w:tcBorders>
              <w:top w:val="single" w:sz="4" w:space="0" w:color="auto"/>
              <w:left w:val="nil"/>
              <w:bottom w:val="single" w:sz="4" w:space="0" w:color="auto"/>
              <w:right w:val="nil"/>
            </w:tcBorders>
            <w:shd w:val="clear" w:color="auto" w:fill="auto"/>
            <w:noWrap/>
            <w:vAlign w:val="bottom"/>
            <w:hideMark/>
          </w:tcPr>
          <w:p w:rsidR="00C43198" w:rsidRPr="00C43198" w:rsidRDefault="00C43198" w:rsidP="00E314F0">
            <w:pPr>
              <w:keepNext w:val="0"/>
              <w:widowControl w:val="0"/>
              <w:spacing w:after="0" w:line="240" w:lineRule="auto"/>
              <w:jc w:val="left"/>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Observations</w:t>
            </w:r>
          </w:p>
        </w:tc>
        <w:tc>
          <w:tcPr>
            <w:tcW w:w="1240" w:type="dxa"/>
            <w:tcBorders>
              <w:top w:val="single" w:sz="4" w:space="0" w:color="auto"/>
              <w:left w:val="nil"/>
              <w:bottom w:val="single" w:sz="4" w:space="0" w:color="auto"/>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53'235</w:t>
            </w:r>
          </w:p>
        </w:tc>
        <w:tc>
          <w:tcPr>
            <w:tcW w:w="1240" w:type="dxa"/>
            <w:tcBorders>
              <w:top w:val="single" w:sz="4" w:space="0" w:color="auto"/>
              <w:left w:val="nil"/>
              <w:bottom w:val="single" w:sz="4" w:space="0" w:color="auto"/>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46'406</w:t>
            </w:r>
          </w:p>
        </w:tc>
        <w:tc>
          <w:tcPr>
            <w:tcW w:w="1240" w:type="dxa"/>
            <w:tcBorders>
              <w:top w:val="single" w:sz="4" w:space="0" w:color="auto"/>
              <w:left w:val="nil"/>
              <w:bottom w:val="single" w:sz="4" w:space="0" w:color="auto"/>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46'406</w:t>
            </w:r>
          </w:p>
        </w:tc>
      </w:tr>
      <w:tr w:rsidR="00C43198" w:rsidRPr="00C43198" w:rsidTr="00C43198">
        <w:trPr>
          <w:trHeight w:val="315"/>
          <w:jc w:val="center"/>
        </w:trPr>
        <w:tc>
          <w:tcPr>
            <w:tcW w:w="3500" w:type="dxa"/>
            <w:tcBorders>
              <w:top w:val="nil"/>
              <w:left w:val="nil"/>
              <w:bottom w:val="single" w:sz="4" w:space="0" w:color="auto"/>
              <w:right w:val="nil"/>
            </w:tcBorders>
            <w:shd w:val="clear" w:color="auto" w:fill="auto"/>
            <w:noWrap/>
            <w:vAlign w:val="bottom"/>
            <w:hideMark/>
          </w:tcPr>
          <w:p w:rsidR="00C43198" w:rsidRPr="00C43198" w:rsidRDefault="00C43198" w:rsidP="00E314F0">
            <w:pPr>
              <w:keepNext w:val="0"/>
              <w:widowControl w:val="0"/>
              <w:spacing w:after="0" w:line="240" w:lineRule="auto"/>
              <w:jc w:val="left"/>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R-</w:t>
            </w:r>
            <w:proofErr w:type="spellStart"/>
            <w:r w:rsidRPr="00C43198">
              <w:rPr>
                <w:rFonts w:ascii="Garamond" w:eastAsia="Times New Roman" w:hAnsi="Garamond" w:cs="Arial"/>
                <w:bCs w:val="0"/>
                <w:szCs w:val="22"/>
                <w:lang w:val="fr-CH" w:eastAsia="fr-CH"/>
              </w:rPr>
              <w:t>squared</w:t>
            </w:r>
            <w:proofErr w:type="spellEnd"/>
          </w:p>
        </w:tc>
        <w:tc>
          <w:tcPr>
            <w:tcW w:w="1240" w:type="dxa"/>
            <w:tcBorders>
              <w:top w:val="nil"/>
              <w:left w:val="nil"/>
              <w:bottom w:val="single" w:sz="4" w:space="0" w:color="auto"/>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0.158</w:t>
            </w:r>
          </w:p>
        </w:tc>
        <w:tc>
          <w:tcPr>
            <w:tcW w:w="1240" w:type="dxa"/>
            <w:tcBorders>
              <w:top w:val="nil"/>
              <w:left w:val="nil"/>
              <w:bottom w:val="single" w:sz="4" w:space="0" w:color="auto"/>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0.167</w:t>
            </w:r>
          </w:p>
        </w:tc>
        <w:tc>
          <w:tcPr>
            <w:tcW w:w="1240" w:type="dxa"/>
            <w:tcBorders>
              <w:top w:val="nil"/>
              <w:left w:val="nil"/>
              <w:bottom w:val="single" w:sz="4" w:space="0" w:color="auto"/>
              <w:right w:val="nil"/>
            </w:tcBorders>
            <w:shd w:val="clear" w:color="auto" w:fill="auto"/>
            <w:noWrap/>
            <w:vAlign w:val="bottom"/>
            <w:hideMark/>
          </w:tcPr>
          <w:p w:rsidR="00C43198" w:rsidRPr="00C43198" w:rsidRDefault="00C43198" w:rsidP="00E314F0">
            <w:pPr>
              <w:keepNext w:val="0"/>
              <w:widowControl w:val="0"/>
              <w:spacing w:after="0" w:line="240" w:lineRule="auto"/>
              <w:jc w:val="center"/>
              <w:rPr>
                <w:rFonts w:ascii="Garamond" w:eastAsia="Times New Roman" w:hAnsi="Garamond" w:cs="Arial"/>
                <w:bCs w:val="0"/>
                <w:szCs w:val="22"/>
                <w:lang w:val="fr-CH" w:eastAsia="fr-CH"/>
              </w:rPr>
            </w:pPr>
            <w:r w:rsidRPr="00C43198">
              <w:rPr>
                <w:rFonts w:ascii="Garamond" w:eastAsia="Times New Roman" w:hAnsi="Garamond" w:cs="Arial"/>
                <w:bCs w:val="0"/>
                <w:szCs w:val="22"/>
                <w:lang w:val="fr-CH" w:eastAsia="fr-CH"/>
              </w:rPr>
              <w:t>0.190</w:t>
            </w:r>
          </w:p>
        </w:tc>
      </w:tr>
      <w:tr w:rsidR="00C43198" w:rsidRPr="00C43198" w:rsidTr="00C43198">
        <w:trPr>
          <w:trHeight w:val="255"/>
          <w:jc w:val="center"/>
        </w:trPr>
        <w:tc>
          <w:tcPr>
            <w:tcW w:w="7220" w:type="dxa"/>
            <w:gridSpan w:val="4"/>
            <w:vMerge w:val="restart"/>
            <w:tcBorders>
              <w:top w:val="single" w:sz="8" w:space="0" w:color="auto"/>
              <w:left w:val="nil"/>
              <w:bottom w:val="nil"/>
              <w:right w:val="nil"/>
            </w:tcBorders>
            <w:shd w:val="clear" w:color="auto" w:fill="auto"/>
            <w:hideMark/>
          </w:tcPr>
          <w:p w:rsidR="00C43198" w:rsidRPr="00C43198" w:rsidRDefault="009938FF" w:rsidP="00E314F0">
            <w:pPr>
              <w:keepNext w:val="0"/>
              <w:widowControl w:val="0"/>
              <w:spacing w:after="0" w:line="240" w:lineRule="auto"/>
              <w:jc w:val="left"/>
              <w:rPr>
                <w:rFonts w:ascii="Garamond" w:eastAsia="Times New Roman" w:hAnsi="Garamond" w:cs="Arial"/>
                <w:bCs w:val="0"/>
                <w:sz w:val="20"/>
                <w:szCs w:val="20"/>
                <w:lang w:val="fr-CH" w:eastAsia="fr-CH"/>
              </w:rPr>
            </w:pPr>
            <w:r>
              <w:rPr>
                <w:rFonts w:ascii="Garamond" w:eastAsia="Times New Roman" w:hAnsi="Garamond" w:cs="Arial"/>
                <w:bCs w:val="0"/>
                <w:sz w:val="20"/>
                <w:szCs w:val="20"/>
                <w:lang w:eastAsia="fr-CH"/>
              </w:rPr>
              <w:t>Product (HS 2-digit)</w:t>
            </w:r>
            <w:r w:rsidR="00C43198" w:rsidRPr="0017096B">
              <w:rPr>
                <w:rFonts w:ascii="Garamond" w:eastAsia="Times New Roman" w:hAnsi="Garamond" w:cs="Arial"/>
                <w:bCs w:val="0"/>
                <w:sz w:val="20"/>
                <w:szCs w:val="20"/>
                <w:lang w:val="en-GB" w:eastAsia="fr-CH"/>
              </w:rPr>
              <w:t xml:space="preserve"> and time fixed effects are included in all specifications but are not shown. Errors are cluster</w:t>
            </w:r>
            <w:r w:rsidR="006A3E4E" w:rsidRPr="0017096B">
              <w:rPr>
                <w:rFonts w:ascii="Garamond" w:eastAsia="Times New Roman" w:hAnsi="Garamond" w:cs="Arial"/>
                <w:bCs w:val="0"/>
                <w:sz w:val="20"/>
                <w:szCs w:val="20"/>
                <w:lang w:val="en-GB" w:eastAsia="fr-CH"/>
              </w:rPr>
              <w:t>ed</w:t>
            </w:r>
            <w:r>
              <w:rPr>
                <w:rFonts w:ascii="Garamond" w:eastAsia="Times New Roman" w:hAnsi="Garamond" w:cs="Arial"/>
                <w:bCs w:val="0"/>
                <w:sz w:val="20"/>
                <w:szCs w:val="20"/>
                <w:lang w:val="en-GB" w:eastAsia="fr-CH"/>
              </w:rPr>
              <w:t xml:space="preserve"> by product</w:t>
            </w:r>
            <w:r w:rsidR="00C43198" w:rsidRPr="0017096B">
              <w:rPr>
                <w:rFonts w:ascii="Garamond" w:eastAsia="Times New Roman" w:hAnsi="Garamond" w:cs="Arial"/>
                <w:bCs w:val="0"/>
                <w:sz w:val="20"/>
                <w:szCs w:val="20"/>
                <w:lang w:val="en-GB" w:eastAsia="fr-CH"/>
              </w:rPr>
              <w:t xml:space="preserve">. Robust standard errors in parentheses. </w:t>
            </w:r>
            <w:proofErr w:type="spellStart"/>
            <w:r w:rsidR="00C43198" w:rsidRPr="00C43198">
              <w:rPr>
                <w:rFonts w:ascii="Garamond" w:eastAsia="Times New Roman" w:hAnsi="Garamond" w:cs="Arial"/>
                <w:bCs w:val="0"/>
                <w:sz w:val="20"/>
                <w:szCs w:val="20"/>
                <w:lang w:val="fr-CH" w:eastAsia="fr-CH"/>
              </w:rPr>
              <w:t>Significance</w:t>
            </w:r>
            <w:proofErr w:type="spellEnd"/>
            <w:r w:rsidR="00C43198" w:rsidRPr="00C43198">
              <w:rPr>
                <w:rFonts w:ascii="Garamond" w:eastAsia="Times New Roman" w:hAnsi="Garamond" w:cs="Arial"/>
                <w:bCs w:val="0"/>
                <w:sz w:val="20"/>
                <w:szCs w:val="20"/>
                <w:lang w:val="fr-CH" w:eastAsia="fr-CH"/>
              </w:rPr>
              <w:t xml:space="preserve"> </w:t>
            </w:r>
            <w:proofErr w:type="spellStart"/>
            <w:r w:rsidR="00C43198" w:rsidRPr="00C43198">
              <w:rPr>
                <w:rFonts w:ascii="Garamond" w:eastAsia="Times New Roman" w:hAnsi="Garamond" w:cs="Arial"/>
                <w:bCs w:val="0"/>
                <w:sz w:val="20"/>
                <w:szCs w:val="20"/>
                <w:lang w:val="fr-CH" w:eastAsia="fr-CH"/>
              </w:rPr>
              <w:t>levels</w:t>
            </w:r>
            <w:proofErr w:type="spellEnd"/>
            <w:r w:rsidR="00C43198" w:rsidRPr="00C43198">
              <w:rPr>
                <w:rFonts w:ascii="Garamond" w:eastAsia="Times New Roman" w:hAnsi="Garamond" w:cs="Arial"/>
                <w:bCs w:val="0"/>
                <w:sz w:val="20"/>
                <w:szCs w:val="20"/>
                <w:lang w:val="fr-CH" w:eastAsia="fr-CH"/>
              </w:rPr>
              <w:t xml:space="preserve"> *** p&lt;0.01, ** p&lt;0.05, * p&lt;0.1.</w:t>
            </w:r>
          </w:p>
        </w:tc>
      </w:tr>
      <w:tr w:rsidR="00C43198" w:rsidRPr="00C43198" w:rsidTr="00C43198">
        <w:trPr>
          <w:trHeight w:val="255"/>
          <w:jc w:val="center"/>
        </w:trPr>
        <w:tc>
          <w:tcPr>
            <w:tcW w:w="7220" w:type="dxa"/>
            <w:gridSpan w:val="4"/>
            <w:vMerge/>
            <w:tcBorders>
              <w:top w:val="single" w:sz="8" w:space="0" w:color="auto"/>
              <w:left w:val="nil"/>
              <w:bottom w:val="nil"/>
              <w:right w:val="nil"/>
            </w:tcBorders>
            <w:vAlign w:val="center"/>
            <w:hideMark/>
          </w:tcPr>
          <w:p w:rsidR="00C43198" w:rsidRPr="00C43198" w:rsidRDefault="00C43198" w:rsidP="00E314F0">
            <w:pPr>
              <w:keepNext w:val="0"/>
              <w:widowControl w:val="0"/>
              <w:spacing w:after="0" w:line="240" w:lineRule="auto"/>
              <w:jc w:val="left"/>
              <w:rPr>
                <w:rFonts w:ascii="Garamond" w:eastAsia="Times New Roman" w:hAnsi="Garamond" w:cs="Arial"/>
                <w:bCs w:val="0"/>
                <w:sz w:val="20"/>
                <w:szCs w:val="20"/>
                <w:lang w:val="fr-CH" w:eastAsia="fr-CH"/>
              </w:rPr>
            </w:pPr>
          </w:p>
        </w:tc>
      </w:tr>
      <w:tr w:rsidR="00C43198" w:rsidRPr="00C43198" w:rsidTr="00C43198">
        <w:trPr>
          <w:trHeight w:val="255"/>
          <w:jc w:val="center"/>
        </w:trPr>
        <w:tc>
          <w:tcPr>
            <w:tcW w:w="7220" w:type="dxa"/>
            <w:gridSpan w:val="4"/>
            <w:vMerge/>
            <w:tcBorders>
              <w:top w:val="single" w:sz="8" w:space="0" w:color="auto"/>
              <w:left w:val="nil"/>
              <w:bottom w:val="nil"/>
              <w:right w:val="nil"/>
            </w:tcBorders>
            <w:vAlign w:val="center"/>
            <w:hideMark/>
          </w:tcPr>
          <w:p w:rsidR="00C43198" w:rsidRPr="00C43198" w:rsidRDefault="00C43198" w:rsidP="00E314F0">
            <w:pPr>
              <w:keepNext w:val="0"/>
              <w:widowControl w:val="0"/>
              <w:spacing w:after="0" w:line="240" w:lineRule="auto"/>
              <w:jc w:val="left"/>
              <w:rPr>
                <w:rFonts w:ascii="Garamond" w:eastAsia="Times New Roman" w:hAnsi="Garamond" w:cs="Arial"/>
                <w:bCs w:val="0"/>
                <w:sz w:val="20"/>
                <w:szCs w:val="20"/>
                <w:lang w:val="fr-CH" w:eastAsia="fr-CH"/>
              </w:rPr>
            </w:pPr>
          </w:p>
        </w:tc>
      </w:tr>
    </w:tbl>
    <w:p w:rsidR="00B3011D" w:rsidRPr="002536DB" w:rsidRDefault="00B3011D" w:rsidP="00E314F0">
      <w:pPr>
        <w:pStyle w:val="Lgende"/>
        <w:keepNext w:val="0"/>
        <w:widowControl w:val="0"/>
        <w:spacing w:before="200" w:line="276" w:lineRule="auto"/>
        <w:jc w:val="both"/>
        <w:rPr>
          <w:rFonts w:eastAsia="SimSun"/>
        </w:rPr>
      </w:pPr>
      <w:r w:rsidRPr="00C43198">
        <w:rPr>
          <w:rFonts w:eastAsia="SimSun"/>
        </w:rPr>
        <w:t xml:space="preserve">The results suggest that a previous experience in market </w:t>
      </w:r>
      <w:r w:rsidRPr="00C43198">
        <w:rPr>
          <w:rFonts w:eastAsia="SimSun"/>
          <w:i/>
          <w:iCs/>
        </w:rPr>
        <w:t>j</w:t>
      </w:r>
      <w:r w:rsidRPr="00C43198">
        <w:rPr>
          <w:rFonts w:eastAsia="SimSun"/>
        </w:rPr>
        <w:t xml:space="preserve"> has a positive and statistically significant effect on the number of new products. Exporters with previous experience </w:t>
      </w:r>
      <w:r w:rsidR="00CE02F0">
        <w:rPr>
          <w:rFonts w:eastAsia="SimSun"/>
        </w:rPr>
        <w:t xml:space="preserve">in </w:t>
      </w:r>
      <w:r w:rsidR="00CE02F0" w:rsidRPr="00C43198">
        <w:rPr>
          <w:rFonts w:eastAsia="SimSun"/>
        </w:rPr>
        <w:t xml:space="preserve">market </w:t>
      </w:r>
      <w:r w:rsidR="00CE02F0" w:rsidRPr="00C43198">
        <w:rPr>
          <w:rFonts w:eastAsia="SimSun"/>
          <w:i/>
          <w:iCs/>
        </w:rPr>
        <w:t>j</w:t>
      </w:r>
      <w:r w:rsidR="00CE02F0" w:rsidRPr="00C43198">
        <w:rPr>
          <w:rFonts w:eastAsia="SimSun"/>
        </w:rPr>
        <w:t xml:space="preserve"> </w:t>
      </w:r>
      <w:r w:rsidRPr="00C43198">
        <w:rPr>
          <w:rFonts w:eastAsia="SimSun"/>
        </w:rPr>
        <w:t xml:space="preserve">are 23% to 29% more likely to introduce a new product in </w:t>
      </w:r>
      <w:r w:rsidR="00CE02F0">
        <w:rPr>
          <w:rFonts w:eastAsia="SimSun"/>
        </w:rPr>
        <w:t xml:space="preserve">that </w:t>
      </w:r>
      <w:r w:rsidRPr="00C43198">
        <w:rPr>
          <w:rFonts w:eastAsia="SimSun"/>
        </w:rPr>
        <w:t xml:space="preserve">market than exporters without experience. Exporter size </w:t>
      </w:r>
      <w:r w:rsidRPr="002536DB">
        <w:rPr>
          <w:rFonts w:eastAsia="SimSun"/>
        </w:rPr>
        <w:t xml:space="preserve">has a positive effect on the number of new products introduced but only in our last specification. The effect is small and not statistically significant. </w:t>
      </w:r>
    </w:p>
    <w:p w:rsidR="00B3011D" w:rsidRPr="002536DB" w:rsidRDefault="00B3011D" w:rsidP="00E314F0">
      <w:pPr>
        <w:pStyle w:val="Lgende"/>
        <w:keepNext w:val="0"/>
        <w:widowControl w:val="0"/>
        <w:spacing w:before="200" w:line="276" w:lineRule="auto"/>
        <w:jc w:val="both"/>
        <w:rPr>
          <w:rFonts w:eastAsia="SimSun"/>
        </w:rPr>
      </w:pPr>
      <w:r w:rsidRPr="002536DB">
        <w:rPr>
          <w:rFonts w:eastAsia="SimSun"/>
        </w:rPr>
        <w:t>Interestingly, exporters selling several products abroad are more likely to introduce a new product. The effect is positive and significant although very small.</w:t>
      </w:r>
      <w:r w:rsidR="00581609">
        <w:rPr>
          <w:rFonts w:eastAsia="SimSun"/>
        </w:rPr>
        <w:t xml:space="preserve"> Multi-products exporters are probably among the most productive firms and are thus more likely to be able to afford the introduction of another product.  In addition, having</w:t>
      </w:r>
      <w:r w:rsidRPr="002536DB">
        <w:rPr>
          <w:rFonts w:eastAsia="SimSun"/>
        </w:rPr>
        <w:t xml:space="preserve"> experience </w:t>
      </w:r>
      <w:r w:rsidR="00581609">
        <w:rPr>
          <w:rFonts w:eastAsia="SimSun"/>
        </w:rPr>
        <w:t>in the sale process and management of</w:t>
      </w:r>
      <w:r w:rsidRPr="002536DB">
        <w:rPr>
          <w:rFonts w:eastAsia="SimSun"/>
        </w:rPr>
        <w:t xml:space="preserve"> </w:t>
      </w:r>
      <w:r w:rsidR="00581609">
        <w:rPr>
          <w:rFonts w:eastAsia="SimSun"/>
        </w:rPr>
        <w:t xml:space="preserve">a </w:t>
      </w:r>
      <w:r w:rsidRPr="002536DB">
        <w:rPr>
          <w:rFonts w:eastAsia="SimSun"/>
        </w:rPr>
        <w:t>product</w:t>
      </w:r>
      <w:r w:rsidR="00581609">
        <w:rPr>
          <w:rFonts w:eastAsia="SimSun"/>
        </w:rPr>
        <w:t xml:space="preserve"> make it probably easier to introduce another product. </w:t>
      </w:r>
      <w:r w:rsidRPr="002536DB">
        <w:rPr>
          <w:rFonts w:eastAsia="SimSun"/>
        </w:rPr>
        <w:t xml:space="preserve">However, exporting to several destinations does not improve the chances of introducing a new product. The effect is null and not significant, which could indicate that it is potentially easier to introduce another product for exporters already selling multiple products than for those serving multiple markets. </w:t>
      </w:r>
    </w:p>
    <w:p w:rsidR="00B3011D" w:rsidRPr="002536DB" w:rsidRDefault="00B3011D" w:rsidP="00E314F0">
      <w:pPr>
        <w:pStyle w:val="Lgende"/>
        <w:keepNext w:val="0"/>
        <w:widowControl w:val="0"/>
        <w:spacing w:before="200" w:line="276" w:lineRule="auto"/>
        <w:jc w:val="both"/>
        <w:rPr>
          <w:rFonts w:eastAsia="SimSun"/>
        </w:rPr>
      </w:pPr>
      <w:r w:rsidRPr="002536DB">
        <w:rPr>
          <w:rFonts w:eastAsia="SimSun"/>
        </w:rPr>
        <w:t xml:space="preserve">As for the demand-side determinants, </w:t>
      </w:r>
      <w:r w:rsidR="00CB5760">
        <w:rPr>
          <w:rFonts w:eastAsia="SimSun"/>
        </w:rPr>
        <w:t xml:space="preserve">as anticipated, </w:t>
      </w:r>
      <w:r w:rsidRPr="002536DB">
        <w:rPr>
          <w:rFonts w:eastAsia="SimSun"/>
        </w:rPr>
        <w:t>the distance to the market has a negative effect on the probability of introducing a new product. Additionally, the probability of exporting a new product to a given market seems to be larger for markets with a higher GDP per capita. This could reflect the fact that richer countries may be perceived as more profitable and therefore attract more exporters. However, both effects (i.e. distance and GDP/capita) disappear once we control for the information spillovers and the interaction term.</w:t>
      </w:r>
    </w:p>
    <w:p w:rsidR="00B3011D" w:rsidRPr="002536DB" w:rsidRDefault="00B3011D" w:rsidP="00E314F0">
      <w:pPr>
        <w:pStyle w:val="Lgende"/>
        <w:keepNext w:val="0"/>
        <w:widowControl w:val="0"/>
        <w:spacing w:before="200" w:line="276" w:lineRule="auto"/>
        <w:jc w:val="both"/>
        <w:rPr>
          <w:rFonts w:eastAsia="SimSun"/>
        </w:rPr>
      </w:pPr>
      <w:r w:rsidRPr="002536DB">
        <w:rPr>
          <w:rFonts w:eastAsia="SimSun"/>
        </w:rPr>
        <w:t xml:space="preserve">As for the information spillovers, the results suggest that the probability of introducing </w:t>
      </w:r>
      <w:r w:rsidR="000071EF">
        <w:rPr>
          <w:rFonts w:eastAsia="SimSun"/>
        </w:rPr>
        <w:t>a new product is higher in</w:t>
      </w:r>
      <w:r w:rsidRPr="002536DB">
        <w:rPr>
          <w:rFonts w:eastAsia="SimSun"/>
        </w:rPr>
        <w:t xml:space="preserve"> markets where other Malian exporters are already doing business. The presence of other Malian exporters in a market may be a signal of profitability and can be useful to learn about demand conditions. Finally, the effect of the interaction term between distance and size is not significant and close to zero, thus suggesting that transportation costs represent a barrier for any exporter, regardless </w:t>
      </w:r>
      <w:r w:rsidR="000071EF">
        <w:rPr>
          <w:rFonts w:eastAsia="SimSun"/>
        </w:rPr>
        <w:t xml:space="preserve">of </w:t>
      </w:r>
      <w:r w:rsidRPr="002536DB">
        <w:rPr>
          <w:rFonts w:eastAsia="SimSun"/>
        </w:rPr>
        <w:t xml:space="preserve">its size. </w:t>
      </w:r>
    </w:p>
    <w:p w:rsidR="00EE6DC6" w:rsidRPr="00B3011D" w:rsidRDefault="00B3011D" w:rsidP="00E314F0">
      <w:pPr>
        <w:pStyle w:val="Lgende"/>
        <w:keepNext w:val="0"/>
        <w:widowControl w:val="0"/>
        <w:spacing w:before="200" w:line="276" w:lineRule="auto"/>
        <w:jc w:val="both"/>
        <w:rPr>
          <w:rFonts w:eastAsia="SimSun"/>
        </w:rPr>
      </w:pPr>
      <w:r w:rsidRPr="002536DB">
        <w:rPr>
          <w:rFonts w:eastAsia="SimSun"/>
        </w:rPr>
        <w:t>The results show that distance and esp</w:t>
      </w:r>
      <w:r w:rsidRPr="00C43198">
        <w:rPr>
          <w:rFonts w:eastAsia="SimSun"/>
        </w:rPr>
        <w:t xml:space="preserve">ecially market experience have the largest effects on the </w:t>
      </w:r>
      <w:r w:rsidRPr="00C43198">
        <w:rPr>
          <w:rFonts w:eastAsia="SimSun"/>
        </w:rPr>
        <w:lastRenderedPageBreak/>
        <w:t xml:space="preserve">probability of introducing a new product. Previous experience in a given market allows exporters to </w:t>
      </w:r>
      <w:r w:rsidR="00EE25BB">
        <w:rPr>
          <w:rFonts w:eastAsia="SimSun"/>
        </w:rPr>
        <w:t xml:space="preserve">better understand </w:t>
      </w:r>
      <w:r w:rsidRPr="00C43198">
        <w:rPr>
          <w:rFonts w:eastAsia="SimSun"/>
        </w:rPr>
        <w:t>c</w:t>
      </w:r>
      <w:r w:rsidR="00EE25BB">
        <w:rPr>
          <w:rFonts w:eastAsia="SimSun"/>
        </w:rPr>
        <w:t xml:space="preserve">onsumers in that market, the competition and </w:t>
      </w:r>
      <w:r w:rsidRPr="00C43198">
        <w:rPr>
          <w:rFonts w:eastAsia="SimSun"/>
        </w:rPr>
        <w:t>business environment. This should not come as a surprise as acquiring such information is essential to assess product demand, profitability and business opportunities in a given market. Transport costs remain an important constraint for product diversification as it negatively affects the competitiveness of exporters in foreign markets</w:t>
      </w:r>
      <w:r w:rsidR="004D5131" w:rsidRPr="00C43198">
        <w:rPr>
          <w:rFonts w:eastAsiaTheme="minorEastAsia"/>
        </w:rPr>
        <w:t>.</w:t>
      </w:r>
      <w:r w:rsidR="004D5131">
        <w:rPr>
          <w:rFonts w:eastAsiaTheme="minorEastAsia"/>
        </w:rPr>
        <w:t xml:space="preserve"> </w:t>
      </w:r>
      <w:r w:rsidR="00D95DD2">
        <w:rPr>
          <w:rFonts w:eastAsiaTheme="minorEastAsia"/>
        </w:rPr>
        <w:t xml:space="preserve"> </w:t>
      </w:r>
    </w:p>
    <w:p w:rsidR="00EE6DC6" w:rsidRPr="00740AD2" w:rsidRDefault="00EE6DC6" w:rsidP="00E314F0">
      <w:pPr>
        <w:pStyle w:val="Style2"/>
        <w:keepNext w:val="0"/>
        <w:keepLines w:val="0"/>
        <w:widowControl w:val="0"/>
      </w:pPr>
      <w:bookmarkStart w:id="35" w:name="_Toc281515413"/>
      <w:bookmarkStart w:id="36" w:name="_Toc303332502"/>
      <w:bookmarkStart w:id="37" w:name="_Toc305445917"/>
      <w:r w:rsidRPr="00740AD2">
        <w:t>Market diversification</w:t>
      </w:r>
      <w:bookmarkEnd w:id="35"/>
      <w:bookmarkEnd w:id="36"/>
      <w:bookmarkEnd w:id="37"/>
    </w:p>
    <w:p w:rsidR="00EE6DC6" w:rsidRPr="009778A2" w:rsidRDefault="00233547" w:rsidP="00E314F0">
      <w:pPr>
        <w:keepNext w:val="0"/>
        <w:widowControl w:val="0"/>
      </w:pPr>
      <w:r>
        <w:t>Having analyzed the determinants of “product diversification”, we now turn to “market diversification” and evaluate the effect of various factors on the probability of incumbent exporters venturing into a new market.</w:t>
      </w:r>
      <w:r>
        <w:rPr>
          <w:rStyle w:val="Appelnotedebasdep"/>
        </w:rPr>
        <w:footnoteReference w:id="35"/>
      </w:r>
      <w:r w:rsidRPr="00FC337D">
        <w:t xml:space="preserve"> </w:t>
      </w:r>
      <w:r>
        <w:t xml:space="preserve">The probability of firm </w:t>
      </w:r>
      <w:proofErr w:type="spellStart"/>
      <w:r w:rsidRPr="00026C4B">
        <w:rPr>
          <w:i/>
        </w:rPr>
        <w:t>i</w:t>
      </w:r>
      <w:proofErr w:type="spellEnd"/>
      <w:r>
        <w:t xml:space="preserve"> to serve a new market with product </w:t>
      </w:r>
      <w:r w:rsidRPr="00026C4B">
        <w:rPr>
          <w:i/>
        </w:rPr>
        <w:t>p</w:t>
      </w:r>
      <w:r>
        <w:t xml:space="preserve"> in time </w:t>
      </w:r>
      <w:r w:rsidRPr="00026C4B">
        <w:rPr>
          <w:i/>
        </w:rPr>
        <w:t>t</w:t>
      </w:r>
      <w:r>
        <w:t xml:space="preserve"> is given by:</w:t>
      </w:r>
    </w:p>
    <w:p w:rsidR="00EE6DC6" w:rsidRDefault="000522C4" w:rsidP="00E314F0">
      <w:pPr>
        <w:keepNext w:val="0"/>
        <w:widowControl w:val="0"/>
        <w:spacing w:after="0"/>
        <w:jc w:val="center"/>
        <w:rPr>
          <w:rFonts w:eastAsiaTheme="minorEastAsia"/>
          <w:szCs w:val="22"/>
        </w:rPr>
      </w:pPr>
      <m:oMathPara>
        <m:oMath>
          <m:sSub>
            <m:sSubPr>
              <m:ctrlPr>
                <w:rPr>
                  <w:rFonts w:ascii="Cambria Math" w:hAnsi="Cambria Math"/>
                  <w:szCs w:val="22"/>
                </w:rPr>
              </m:ctrlPr>
            </m:sSubPr>
            <m:e>
              <m:r>
                <w:rPr>
                  <w:rFonts w:ascii="Cambria Math" w:hAnsi="Cambria Math"/>
                  <w:szCs w:val="22"/>
                </w:rPr>
                <m:t>Prob (NewMkt=1)</m:t>
              </m:r>
            </m:e>
            <m:sub>
              <m:r>
                <w:rPr>
                  <w:rFonts w:ascii="Cambria Math" w:hAnsi="Cambria Math"/>
                  <w:szCs w:val="22"/>
                </w:rPr>
                <m:t>ipt</m:t>
              </m:r>
            </m:sub>
          </m:sSub>
          <m:r>
            <m:rPr>
              <m:sty m:val="p"/>
            </m:rPr>
            <w:rPr>
              <w:rFonts w:ascii="Cambria Math" w:hAnsi="Cambria Math"/>
              <w:szCs w:val="22"/>
            </w:rPr>
            <m:t>=</m:t>
          </m:r>
          <m:sSub>
            <m:sSubPr>
              <m:ctrlPr>
                <w:rPr>
                  <w:rFonts w:ascii="Cambria Math" w:hAnsi="Cambria Math"/>
                  <w:szCs w:val="22"/>
                </w:rPr>
              </m:ctrlPr>
            </m:sSubPr>
            <m:e>
              <m:sSub>
                <m:sSubPr>
                  <m:ctrlPr>
                    <w:rPr>
                      <w:rFonts w:ascii="Cambria Math" w:hAnsi="Cambria Math"/>
                      <w:szCs w:val="22"/>
                    </w:rPr>
                  </m:ctrlPr>
                </m:sSubPr>
                <m:e>
                  <m:r>
                    <w:rPr>
                      <w:rFonts w:ascii="Cambria Math" w:hAnsi="Cambria Math"/>
                      <w:szCs w:val="22"/>
                    </w:rPr>
                    <m:t>β</m:t>
                  </m:r>
                </m:e>
                <m:sub>
                  <m:r>
                    <m:rPr>
                      <m:sty m:val="p"/>
                    </m:rPr>
                    <w:rPr>
                      <w:rFonts w:ascii="Cambria Math" w:hAnsi="Cambria Math"/>
                      <w:szCs w:val="22"/>
                    </w:rPr>
                    <m:t>1</m:t>
                  </m:r>
                </m:sub>
              </m:sSub>
              <m:sSub>
                <m:sSubPr>
                  <m:ctrlPr>
                    <w:rPr>
                      <w:rFonts w:ascii="Cambria Math" w:hAnsi="Cambria Math"/>
                      <w:szCs w:val="22"/>
                    </w:rPr>
                  </m:ctrlPr>
                </m:sSubPr>
                <m:e>
                  <m:r>
                    <w:rPr>
                      <w:rFonts w:ascii="Cambria Math" w:hAnsi="Cambria Math"/>
                      <w:szCs w:val="22"/>
                    </w:rPr>
                    <m:t>FirmCs</m:t>
                  </m:r>
                </m:e>
                <m:sub>
                  <m:r>
                    <w:rPr>
                      <w:rFonts w:ascii="Cambria Math" w:hAnsi="Cambria Math"/>
                      <w:szCs w:val="22"/>
                    </w:rPr>
                    <m:t>it</m:t>
                  </m:r>
                </m:sub>
              </m:sSub>
              <m:r>
                <m:rPr>
                  <m:sty m:val="p"/>
                </m:rPr>
                <w:rPr>
                  <w:rFonts w:ascii="Cambria Math" w:hAnsi="Cambria Math"/>
                  <w:szCs w:val="22"/>
                </w:rPr>
                <m:t>+</m:t>
              </m:r>
              <m:r>
                <w:rPr>
                  <w:rFonts w:ascii="Cambria Math" w:hAnsi="Cambria Math"/>
                  <w:szCs w:val="22"/>
                </w:rPr>
                <m:t>β</m:t>
              </m:r>
            </m:e>
            <m:sub>
              <m:r>
                <m:rPr>
                  <m:sty m:val="p"/>
                </m:rPr>
                <w:rPr>
                  <w:rFonts w:ascii="Cambria Math" w:hAnsi="Cambria Math"/>
                  <w:szCs w:val="22"/>
                </w:rPr>
                <m:t>2</m:t>
              </m:r>
            </m:sub>
          </m:sSub>
          <m:sSub>
            <m:sSubPr>
              <m:ctrlPr>
                <w:rPr>
                  <w:rFonts w:ascii="Cambria Math" w:hAnsi="Cambria Math"/>
                  <w:szCs w:val="22"/>
                </w:rPr>
              </m:ctrlPr>
            </m:sSubPr>
            <m:e>
              <m:r>
                <w:rPr>
                  <w:rFonts w:ascii="Cambria Math" w:hAnsi="Cambria Math"/>
                  <w:szCs w:val="22"/>
                </w:rPr>
                <m:t>ProductCs</m:t>
              </m:r>
            </m:e>
            <m:sub>
              <m:r>
                <w:rPr>
                  <w:rFonts w:ascii="Cambria Math" w:hAnsi="Cambria Math"/>
                  <w:szCs w:val="22"/>
                </w:rPr>
                <m:t>ipt</m:t>
              </m:r>
            </m:sub>
          </m:sSub>
          <m:r>
            <m:rPr>
              <m:sty m:val="p"/>
            </m:rPr>
            <w:rPr>
              <w:rFonts w:ascii="Cambria Math" w:hAnsi="Cambria Math"/>
              <w:szCs w:val="22"/>
            </w:rPr>
            <m:t>+</m:t>
          </m:r>
          <m:sSub>
            <m:sSubPr>
              <m:ctrlPr>
                <w:rPr>
                  <w:rFonts w:ascii="Cambria Math" w:hAnsi="Cambria Math"/>
                  <w:szCs w:val="22"/>
                </w:rPr>
              </m:ctrlPr>
            </m:sSubPr>
            <m:e>
              <m:r>
                <w:rPr>
                  <w:rFonts w:ascii="Cambria Math" w:hAnsi="Cambria Math"/>
                  <w:szCs w:val="22"/>
                </w:rPr>
                <m:t>β</m:t>
              </m:r>
            </m:e>
            <m:sub>
              <m:r>
                <m:rPr>
                  <m:sty m:val="p"/>
                </m:rPr>
                <w:rPr>
                  <w:rFonts w:ascii="Cambria Math" w:hAnsi="Cambria Math"/>
                  <w:szCs w:val="22"/>
                </w:rPr>
                <m:t>3</m:t>
              </m:r>
            </m:sub>
          </m:sSub>
          <m:sSub>
            <m:sSubPr>
              <m:ctrlPr>
                <w:rPr>
                  <w:rFonts w:ascii="Cambria Math" w:hAnsi="Cambria Math"/>
                  <w:szCs w:val="22"/>
                </w:rPr>
              </m:ctrlPr>
            </m:sSubPr>
            <m:e>
              <m:r>
                <w:rPr>
                  <w:rFonts w:ascii="Cambria Math" w:hAnsi="Cambria Math"/>
                  <w:szCs w:val="22"/>
                </w:rPr>
                <m:t>Control</m:t>
              </m:r>
              <m:r>
                <w:rPr>
                  <w:rFonts w:ascii="Cambria Math" w:hAnsi="Cambria Math"/>
                  <w:szCs w:val="22"/>
                </w:rPr>
                <m:t>s</m:t>
              </m:r>
            </m:e>
            <m:sub>
              <m:r>
                <w:rPr>
                  <w:rFonts w:ascii="Cambria Math" w:hAnsi="Cambria Math"/>
                  <w:szCs w:val="22"/>
                </w:rPr>
                <m:t>pt</m:t>
              </m:r>
              <m:r>
                <m:rPr>
                  <m:sty m:val="p"/>
                </m:rPr>
                <w:rPr>
                  <w:rFonts w:ascii="Cambria Math" w:hAnsi="Cambria Math"/>
                  <w:szCs w:val="22"/>
                </w:rPr>
                <m:t>-1</m:t>
              </m:r>
            </m:sub>
          </m:sSub>
          <m:r>
            <m:rPr>
              <m:sty m:val="p"/>
            </m:rPr>
            <w:rPr>
              <w:rFonts w:ascii="Cambria Math" w:hAnsi="Cambria Math"/>
              <w:szCs w:val="22"/>
            </w:rPr>
            <m:t>+</m:t>
          </m:r>
          <m:sSub>
            <m:sSubPr>
              <m:ctrlPr>
                <w:rPr>
                  <w:rFonts w:ascii="Cambria Math" w:hAnsi="Cambria Math"/>
                  <w:szCs w:val="22"/>
                </w:rPr>
              </m:ctrlPr>
            </m:sSubPr>
            <m:e>
              <m:r>
                <w:rPr>
                  <w:rFonts w:ascii="Cambria Math" w:hAnsi="Cambria Math"/>
                  <w:szCs w:val="22"/>
                </w:rPr>
                <m:t>ϵ</m:t>
              </m:r>
            </m:e>
            <m:sub>
              <m:r>
                <w:rPr>
                  <w:rFonts w:ascii="Cambria Math" w:hAnsi="Cambria Math"/>
                  <w:szCs w:val="22"/>
                </w:rPr>
                <m:t>ipt</m:t>
              </m:r>
            </m:sub>
          </m:sSub>
          <m:r>
            <m:rPr>
              <m:sty m:val="p"/>
            </m:rPr>
            <w:rPr>
              <w:rFonts w:ascii="Cambria Math" w:hAnsi="Cambria Math"/>
              <w:szCs w:val="22"/>
            </w:rPr>
            <m:t xml:space="preserve">   </m:t>
          </m:r>
        </m:oMath>
      </m:oMathPara>
    </w:p>
    <w:p w:rsidR="00EE6DC6" w:rsidRDefault="00EE6DC6" w:rsidP="00E314F0">
      <w:pPr>
        <w:keepNext w:val="0"/>
        <w:widowControl w:val="0"/>
        <w:spacing w:after="0"/>
        <w:jc w:val="center"/>
        <w:rPr>
          <w:rFonts w:eastAsiaTheme="minorEastAsia"/>
          <w:szCs w:val="22"/>
        </w:rPr>
      </w:pPr>
    </w:p>
    <w:p w:rsidR="002F6266" w:rsidRDefault="002F6266" w:rsidP="00E314F0">
      <w:pPr>
        <w:keepNext w:val="0"/>
        <w:widowControl w:val="0"/>
      </w:pPr>
      <w:r>
        <w:t xml:space="preserve">where </w:t>
      </w:r>
      <w:proofErr w:type="spellStart"/>
      <w:r w:rsidRPr="00BB3870">
        <w:rPr>
          <w:i/>
          <w:iCs/>
        </w:rPr>
        <w:t>N</w:t>
      </w:r>
      <w:r>
        <w:rPr>
          <w:i/>
          <w:iCs/>
        </w:rPr>
        <w:t>ew</w:t>
      </w:r>
      <w:r w:rsidRPr="00BB3870">
        <w:rPr>
          <w:i/>
          <w:iCs/>
        </w:rPr>
        <w:t>Mkt</w:t>
      </w:r>
      <w:proofErr w:type="spellEnd"/>
      <w:r>
        <w:t xml:space="preserve"> is </w:t>
      </w:r>
      <w:r w:rsidRPr="00CD30EF">
        <w:t xml:space="preserve">a dummy </w:t>
      </w:r>
      <w:r>
        <w:t>that equals one if firm</w:t>
      </w:r>
      <w:r w:rsidRPr="00BB3870">
        <w:rPr>
          <w:i/>
          <w:iCs/>
        </w:rPr>
        <w:t xml:space="preserve"> </w:t>
      </w:r>
      <w:proofErr w:type="spellStart"/>
      <w:r w:rsidRPr="00BB3870">
        <w:rPr>
          <w:i/>
          <w:iCs/>
        </w:rPr>
        <w:t>i</w:t>
      </w:r>
      <w:proofErr w:type="spellEnd"/>
      <w:r>
        <w:t xml:space="preserve"> serves a new market in</w:t>
      </w:r>
      <w:r w:rsidRPr="00BB3870">
        <w:rPr>
          <w:i/>
          <w:iCs/>
        </w:rPr>
        <w:t xml:space="preserve"> t</w:t>
      </w:r>
      <w:r>
        <w:t xml:space="preserve"> with product </w:t>
      </w:r>
      <w:r w:rsidRPr="00BB3870">
        <w:rPr>
          <w:i/>
          <w:iCs/>
        </w:rPr>
        <w:t>p</w:t>
      </w:r>
      <w:r>
        <w:rPr>
          <w:i/>
          <w:iCs/>
        </w:rPr>
        <w:t xml:space="preserve"> </w:t>
      </w:r>
      <w:r>
        <w:t xml:space="preserve">(conditional on product </w:t>
      </w:r>
      <w:r w:rsidRPr="00B10D75">
        <w:rPr>
          <w:i/>
          <w:iCs/>
        </w:rPr>
        <w:t>p</w:t>
      </w:r>
      <w:r>
        <w:t xml:space="preserve"> being exported) and zero otherwise</w:t>
      </w:r>
      <w:r>
        <w:rPr>
          <w:i/>
          <w:iCs/>
        </w:rPr>
        <w:t>.</w:t>
      </w:r>
      <w:r w:rsidRPr="00FC337D">
        <w:t xml:space="preserve"> </w:t>
      </w:r>
      <w:r>
        <w:t xml:space="preserve">Like in the previous section, we include exporter size, as well as the number of products exported by firm </w:t>
      </w:r>
      <w:proofErr w:type="spellStart"/>
      <w:r>
        <w:rPr>
          <w:i/>
          <w:iCs/>
        </w:rPr>
        <w:t>i</w:t>
      </w:r>
      <w:proofErr w:type="spellEnd"/>
      <w:r>
        <w:rPr>
          <w:i/>
          <w:iCs/>
        </w:rPr>
        <w:t xml:space="preserve"> </w:t>
      </w:r>
      <w:r w:rsidRPr="00026C4B">
        <w:t>and</w:t>
      </w:r>
      <w:r>
        <w:rPr>
          <w:i/>
          <w:iCs/>
        </w:rPr>
        <w:t xml:space="preserve"> </w:t>
      </w:r>
      <w:r>
        <w:t xml:space="preserve">the number of markets it serves.  </w:t>
      </w:r>
    </w:p>
    <w:p w:rsidR="002F6266" w:rsidRDefault="002F6266" w:rsidP="00E314F0">
      <w:pPr>
        <w:keepNext w:val="0"/>
        <w:widowControl w:val="0"/>
      </w:pPr>
      <w:r>
        <w:t xml:space="preserve">To account for firm’s product experience, we include a dummy that takes </w:t>
      </w:r>
      <w:r w:rsidR="00C6040D">
        <w:t xml:space="preserve">the value </w:t>
      </w:r>
      <w:r w:rsidR="00660830">
        <w:t xml:space="preserve">of </w:t>
      </w:r>
      <w:r>
        <w:t xml:space="preserve">one if the product was already exported by firm </w:t>
      </w:r>
      <w:proofErr w:type="spellStart"/>
      <w:r>
        <w:rPr>
          <w:i/>
          <w:iCs/>
        </w:rPr>
        <w:t>i</w:t>
      </w:r>
      <w:proofErr w:type="spellEnd"/>
      <w:r>
        <w:rPr>
          <w:i/>
          <w:iCs/>
        </w:rPr>
        <w:t xml:space="preserve"> </w:t>
      </w:r>
      <w:r w:rsidRPr="00FC337D">
        <w:t>in</w:t>
      </w:r>
      <w:r>
        <w:rPr>
          <w:i/>
          <w:iCs/>
        </w:rPr>
        <w:t xml:space="preserve"> t-1</w:t>
      </w:r>
      <w:r>
        <w:t xml:space="preserve">, and zero otherwise. To control for the product type, we add </w:t>
      </w:r>
      <w:r w:rsidR="00C6040D">
        <w:t>two dummies to distinguish between</w:t>
      </w:r>
      <w:r>
        <w:t xml:space="preserve"> differentiated and homogeneous goods using Rauch classification.</w:t>
      </w:r>
      <w:r>
        <w:rPr>
          <w:rStyle w:val="Appelnotedebasdep"/>
        </w:rPr>
        <w:footnoteReference w:id="36"/>
      </w:r>
      <w:r>
        <w:t xml:space="preserve"> ‘</w:t>
      </w:r>
      <w:r w:rsidRPr="0058381C">
        <w:t>Differentiated goods</w:t>
      </w:r>
      <w:r>
        <w:t xml:space="preserve">’ represents the reference category. We also include the change in world imports of product </w:t>
      </w:r>
      <w:r w:rsidRPr="00BB3870">
        <w:rPr>
          <w:i/>
          <w:iCs/>
        </w:rPr>
        <w:t>p</w:t>
      </w:r>
      <w:r>
        <w:t xml:space="preserve"> in </w:t>
      </w:r>
      <w:r w:rsidRPr="00BB3870">
        <w:rPr>
          <w:i/>
          <w:iCs/>
        </w:rPr>
        <w:t>t</w:t>
      </w:r>
      <w:r>
        <w:t xml:space="preserve"> to account for </w:t>
      </w:r>
      <w:r w:rsidR="005B766A">
        <w:t xml:space="preserve">a </w:t>
      </w:r>
      <w:r>
        <w:t>change in demand conditions. To assess the effect of export programs,</w:t>
      </w:r>
      <w:r w:rsidR="00660830">
        <w:t xml:space="preserve"> we include a dummy that equals </w:t>
      </w:r>
      <w:r w:rsidR="00C6040D">
        <w:t>one</w:t>
      </w:r>
      <w:r>
        <w:t xml:space="preserve"> if the good is eligible for any government or donors support program.</w:t>
      </w:r>
      <w:r>
        <w:rPr>
          <w:rStyle w:val="Appelnotedebasdep"/>
        </w:rPr>
        <w:footnoteReference w:id="37"/>
      </w:r>
      <w:r>
        <w:t xml:space="preserve"> To take into account the r</w:t>
      </w:r>
      <w:r w:rsidRPr="00993961">
        <w:t xml:space="preserve">ole of </w:t>
      </w:r>
      <w:r w:rsidR="00FB2006">
        <w:t xml:space="preserve">information </w:t>
      </w:r>
      <w:r w:rsidRPr="00993961">
        <w:t>spillover effects, we add the nu</w:t>
      </w:r>
      <w:r>
        <w:t xml:space="preserve">mber of firms that exported the same product </w:t>
      </w:r>
      <w:r w:rsidRPr="00BB3870">
        <w:rPr>
          <w:i/>
          <w:iCs/>
        </w:rPr>
        <w:t>p</w:t>
      </w:r>
      <w:r>
        <w:t xml:space="preserve"> in</w:t>
      </w:r>
      <w:r w:rsidRPr="00BB3870">
        <w:rPr>
          <w:i/>
          <w:iCs/>
        </w:rPr>
        <w:t xml:space="preserve"> t-1</w:t>
      </w:r>
      <w:r>
        <w:t>.</w:t>
      </w:r>
    </w:p>
    <w:p w:rsidR="003D5C9E" w:rsidRDefault="000522C4" w:rsidP="00E314F0">
      <w:pPr>
        <w:keepNext w:val="0"/>
        <w:widowControl w:val="0"/>
      </w:pPr>
      <w:r>
        <w:fldChar w:fldCharType="begin"/>
      </w:r>
      <w:r w:rsidR="00D02BD7">
        <w:instrText xml:space="preserve"> REF _Ref286857684 \h </w:instrText>
      </w:r>
      <w:r>
        <w:fldChar w:fldCharType="separate"/>
      </w:r>
      <w:r w:rsidR="000610DD" w:rsidRPr="009302DA">
        <w:t xml:space="preserve">Table </w:t>
      </w:r>
      <w:r w:rsidR="000610DD">
        <w:rPr>
          <w:noProof/>
        </w:rPr>
        <w:t>3</w:t>
      </w:r>
      <w:r>
        <w:fldChar w:fldCharType="end"/>
      </w:r>
      <w:r w:rsidR="004065BE">
        <w:t xml:space="preserve"> </w:t>
      </w:r>
      <w:r w:rsidR="002F6266">
        <w:t>reports the results of the estimation. The first column refers to the base line specification and includes only firm characteristics. The second column includes market characteristics. The last specification includes other controls such as the proxy for the information spillovers and two interaction terms: the first one assesses whether the effect of support programs varies with exporter size, while the second captures whether the effect of product experience varies with the type of good.</w:t>
      </w:r>
      <w:r w:rsidR="00592BAF">
        <w:t xml:space="preserve"> The technology, skills, and capital requirements associated with the production of a differentiated good are presumably harder to meet. </w:t>
      </w:r>
      <w:r w:rsidR="002F6266">
        <w:t xml:space="preserve"> We </w:t>
      </w:r>
      <w:r w:rsidR="00592BAF">
        <w:t xml:space="preserve">therefore expect that </w:t>
      </w:r>
      <w:r w:rsidR="002F6266">
        <w:t>experience in the production and distribution of a differentiated (or sophisticated good</w:t>
      </w:r>
      <w:r w:rsidR="003D5C9E">
        <w:t xml:space="preserve"> </w:t>
      </w:r>
      <w:r w:rsidR="002F6266">
        <w:t xml:space="preserve">) </w:t>
      </w:r>
      <w:r w:rsidR="00592BAF">
        <w:t>would play</w:t>
      </w:r>
      <w:r w:rsidR="002F6266">
        <w:t xml:space="preserve"> a bigger role than in the case of a homogenous good. Product and time fixed effects are included in all specifications</w:t>
      </w:r>
      <w:r w:rsidR="00DB4272">
        <w:t>.</w:t>
      </w:r>
    </w:p>
    <w:p w:rsidR="00EE6DC6" w:rsidRDefault="00EE6DC6" w:rsidP="00E314F0">
      <w:pPr>
        <w:keepNext w:val="0"/>
        <w:widowControl w:val="0"/>
      </w:pPr>
      <w:bookmarkStart w:id="38" w:name="_Ref286857684"/>
      <w:r w:rsidRPr="009302DA">
        <w:t xml:space="preserve">Table </w:t>
      </w:r>
      <w:r w:rsidR="000522C4" w:rsidRPr="009302DA">
        <w:fldChar w:fldCharType="begin"/>
      </w:r>
      <w:r w:rsidRPr="009302DA">
        <w:instrText xml:space="preserve"> SEQ Table \* ARABIC </w:instrText>
      </w:r>
      <w:r w:rsidR="000522C4" w:rsidRPr="009302DA">
        <w:fldChar w:fldCharType="separate"/>
      </w:r>
      <w:r w:rsidR="000610DD">
        <w:rPr>
          <w:noProof/>
        </w:rPr>
        <w:t>3</w:t>
      </w:r>
      <w:r w:rsidR="000522C4" w:rsidRPr="009302DA">
        <w:fldChar w:fldCharType="end"/>
      </w:r>
      <w:bookmarkEnd w:id="38"/>
      <w:r w:rsidRPr="009302DA">
        <w:t xml:space="preserve">: </w:t>
      </w:r>
      <w:r w:rsidR="002665DC" w:rsidRPr="002665DC">
        <w:t>Probability to break into a new market (Linear Probability Model)</w:t>
      </w:r>
    </w:p>
    <w:tbl>
      <w:tblPr>
        <w:tblW w:w="7220" w:type="dxa"/>
        <w:jc w:val="center"/>
        <w:tblInd w:w="55" w:type="dxa"/>
        <w:tblCellMar>
          <w:left w:w="70" w:type="dxa"/>
          <w:right w:w="70" w:type="dxa"/>
        </w:tblCellMar>
        <w:tblLook w:val="04A0"/>
      </w:tblPr>
      <w:tblGrid>
        <w:gridCol w:w="3500"/>
        <w:gridCol w:w="1240"/>
        <w:gridCol w:w="1240"/>
        <w:gridCol w:w="1240"/>
      </w:tblGrid>
      <w:tr w:rsidR="00D471FF" w:rsidRPr="00D471FF" w:rsidTr="00D471FF">
        <w:trPr>
          <w:trHeight w:val="300"/>
          <w:jc w:val="center"/>
        </w:trPr>
        <w:tc>
          <w:tcPr>
            <w:tcW w:w="3500" w:type="dxa"/>
            <w:tcBorders>
              <w:top w:val="nil"/>
              <w:left w:val="nil"/>
              <w:bottom w:val="nil"/>
              <w:right w:val="nil"/>
            </w:tcBorders>
            <w:shd w:val="clear" w:color="auto" w:fill="auto"/>
            <w:noWrap/>
            <w:vAlign w:val="bottom"/>
            <w:hideMark/>
          </w:tcPr>
          <w:p w:rsidR="00D471FF" w:rsidRPr="0017096B" w:rsidRDefault="00D471FF" w:rsidP="00E314F0">
            <w:pPr>
              <w:keepNext w:val="0"/>
              <w:widowControl w:val="0"/>
              <w:spacing w:after="0" w:line="240" w:lineRule="auto"/>
              <w:jc w:val="left"/>
              <w:rPr>
                <w:rFonts w:ascii="Garamond" w:eastAsia="Times New Roman" w:hAnsi="Garamond" w:cs="Arial"/>
                <w:bCs w:val="0"/>
                <w:szCs w:val="22"/>
                <w:lang w:val="en-GB" w:eastAsia="fr-CH"/>
              </w:rPr>
            </w:pP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(1)</w:t>
            </w: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(2)</w:t>
            </w: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(3)</w:t>
            </w:r>
          </w:p>
        </w:tc>
      </w:tr>
      <w:tr w:rsidR="00D471FF" w:rsidRPr="00D471FF" w:rsidTr="00D471FF">
        <w:trPr>
          <w:trHeight w:val="300"/>
          <w:jc w:val="center"/>
        </w:trPr>
        <w:tc>
          <w:tcPr>
            <w:tcW w:w="3500" w:type="dxa"/>
            <w:tcBorders>
              <w:top w:val="nil"/>
              <w:left w:val="nil"/>
              <w:bottom w:val="single" w:sz="4" w:space="0" w:color="auto"/>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lastRenderedPageBreak/>
              <w:t>variables</w:t>
            </w:r>
          </w:p>
        </w:tc>
        <w:tc>
          <w:tcPr>
            <w:tcW w:w="1240" w:type="dxa"/>
            <w:tcBorders>
              <w:top w:val="nil"/>
              <w:left w:val="nil"/>
              <w:bottom w:val="single" w:sz="4" w:space="0" w:color="auto"/>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proofErr w:type="spellStart"/>
            <w:r w:rsidRPr="00D471FF">
              <w:rPr>
                <w:rFonts w:ascii="Garamond" w:eastAsia="Times New Roman" w:hAnsi="Garamond" w:cs="Arial"/>
                <w:bCs w:val="0"/>
                <w:szCs w:val="22"/>
                <w:lang w:val="fr-CH" w:eastAsia="fr-CH"/>
              </w:rPr>
              <w:t>new_mkt</w:t>
            </w:r>
            <w:proofErr w:type="spellEnd"/>
          </w:p>
        </w:tc>
        <w:tc>
          <w:tcPr>
            <w:tcW w:w="1240" w:type="dxa"/>
            <w:tcBorders>
              <w:top w:val="nil"/>
              <w:left w:val="nil"/>
              <w:bottom w:val="single" w:sz="4" w:space="0" w:color="auto"/>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proofErr w:type="spellStart"/>
            <w:r w:rsidRPr="00D471FF">
              <w:rPr>
                <w:rFonts w:ascii="Garamond" w:eastAsia="Times New Roman" w:hAnsi="Garamond" w:cs="Arial"/>
                <w:bCs w:val="0"/>
                <w:szCs w:val="22"/>
                <w:lang w:val="fr-CH" w:eastAsia="fr-CH"/>
              </w:rPr>
              <w:t>new_mkt</w:t>
            </w:r>
            <w:proofErr w:type="spellEnd"/>
          </w:p>
        </w:tc>
        <w:tc>
          <w:tcPr>
            <w:tcW w:w="1240" w:type="dxa"/>
            <w:tcBorders>
              <w:top w:val="nil"/>
              <w:left w:val="nil"/>
              <w:bottom w:val="single" w:sz="4" w:space="0" w:color="auto"/>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proofErr w:type="spellStart"/>
            <w:r w:rsidRPr="00D471FF">
              <w:rPr>
                <w:rFonts w:ascii="Garamond" w:eastAsia="Times New Roman" w:hAnsi="Garamond" w:cs="Arial"/>
                <w:bCs w:val="0"/>
                <w:szCs w:val="22"/>
                <w:lang w:val="fr-CH" w:eastAsia="fr-CH"/>
              </w:rPr>
              <w:t>new_mkt</w:t>
            </w:r>
            <w:proofErr w:type="spellEnd"/>
          </w:p>
        </w:tc>
      </w:tr>
      <w:tr w:rsidR="00D471FF" w:rsidRPr="00D471FF" w:rsidTr="00D471FF">
        <w:trPr>
          <w:trHeight w:val="300"/>
          <w:jc w:val="center"/>
        </w:trPr>
        <w:tc>
          <w:tcPr>
            <w:tcW w:w="350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left"/>
              <w:rPr>
                <w:rFonts w:ascii="Garamond" w:eastAsia="Times New Roman" w:hAnsi="Garamond" w:cs="Arial"/>
                <w:bCs w:val="0"/>
                <w:szCs w:val="22"/>
                <w:lang w:val="fr-CH" w:eastAsia="fr-CH"/>
              </w:rPr>
            </w:pPr>
            <w:proofErr w:type="spellStart"/>
            <w:r w:rsidRPr="00D471FF">
              <w:rPr>
                <w:rFonts w:ascii="Garamond" w:eastAsia="Times New Roman" w:hAnsi="Garamond" w:cs="Arial"/>
                <w:bCs w:val="0"/>
                <w:szCs w:val="22"/>
                <w:lang w:val="fr-CH" w:eastAsia="fr-CH"/>
              </w:rPr>
              <w:t>product</w:t>
            </w:r>
            <w:proofErr w:type="spellEnd"/>
            <w:r w:rsidRPr="00D471FF">
              <w:rPr>
                <w:rFonts w:ascii="Garamond" w:eastAsia="Times New Roman" w:hAnsi="Garamond" w:cs="Arial"/>
                <w:bCs w:val="0"/>
                <w:szCs w:val="22"/>
                <w:lang w:val="fr-CH" w:eastAsia="fr-CH"/>
              </w:rPr>
              <w:t xml:space="preserve"> </w:t>
            </w:r>
            <w:proofErr w:type="spellStart"/>
            <w:r w:rsidRPr="00D471FF">
              <w:rPr>
                <w:rFonts w:ascii="Garamond" w:eastAsia="Times New Roman" w:hAnsi="Garamond" w:cs="Arial"/>
                <w:bCs w:val="0"/>
                <w:szCs w:val="22"/>
                <w:lang w:val="fr-CH" w:eastAsia="fr-CH"/>
              </w:rPr>
              <w:t>experience</w:t>
            </w:r>
            <w:proofErr w:type="spellEnd"/>
            <w:r w:rsidRPr="00D471FF">
              <w:rPr>
                <w:rFonts w:ascii="Garamond" w:eastAsia="Times New Roman" w:hAnsi="Garamond" w:cs="Arial"/>
                <w:bCs w:val="0"/>
                <w:szCs w:val="22"/>
                <w:lang w:val="fr-CH" w:eastAsia="fr-CH"/>
              </w:rPr>
              <w:t xml:space="preserve"> (t-1)</w:t>
            </w: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0.119***</w:t>
            </w: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0.105**</w:t>
            </w: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0.113**</w:t>
            </w:r>
          </w:p>
        </w:tc>
      </w:tr>
      <w:tr w:rsidR="00D471FF" w:rsidRPr="00D471FF" w:rsidTr="00D471FF">
        <w:trPr>
          <w:trHeight w:val="300"/>
          <w:jc w:val="center"/>
        </w:trPr>
        <w:tc>
          <w:tcPr>
            <w:tcW w:w="350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left"/>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(0.038)</w:t>
            </w: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(0.043)</w:t>
            </w: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(0.043)</w:t>
            </w:r>
          </w:p>
        </w:tc>
      </w:tr>
      <w:tr w:rsidR="00D471FF" w:rsidRPr="00D471FF" w:rsidTr="00D471FF">
        <w:trPr>
          <w:trHeight w:val="300"/>
          <w:jc w:val="center"/>
        </w:trPr>
        <w:tc>
          <w:tcPr>
            <w:tcW w:w="350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left"/>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size(t-1), log</w:t>
            </w: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-0.015**</w:t>
            </w: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-0.016**</w:t>
            </w: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-0.015*</w:t>
            </w:r>
          </w:p>
        </w:tc>
      </w:tr>
      <w:tr w:rsidR="00D471FF" w:rsidRPr="00D471FF" w:rsidTr="00D471FF">
        <w:trPr>
          <w:trHeight w:val="300"/>
          <w:jc w:val="center"/>
        </w:trPr>
        <w:tc>
          <w:tcPr>
            <w:tcW w:w="350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left"/>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(0.007)</w:t>
            </w: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(0.008)</w:t>
            </w: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(0.008)</w:t>
            </w:r>
          </w:p>
        </w:tc>
      </w:tr>
      <w:tr w:rsidR="00D471FF" w:rsidRPr="00D471FF" w:rsidTr="00D471FF">
        <w:trPr>
          <w:trHeight w:val="300"/>
          <w:jc w:val="center"/>
        </w:trPr>
        <w:tc>
          <w:tcPr>
            <w:tcW w:w="3500" w:type="dxa"/>
            <w:tcBorders>
              <w:top w:val="nil"/>
              <w:left w:val="nil"/>
              <w:bottom w:val="nil"/>
              <w:right w:val="nil"/>
            </w:tcBorders>
            <w:shd w:val="clear" w:color="auto" w:fill="auto"/>
            <w:noWrap/>
            <w:vAlign w:val="bottom"/>
            <w:hideMark/>
          </w:tcPr>
          <w:p w:rsidR="00D471FF" w:rsidRPr="0017096B" w:rsidRDefault="00D471FF" w:rsidP="00E314F0">
            <w:pPr>
              <w:keepNext w:val="0"/>
              <w:widowControl w:val="0"/>
              <w:spacing w:after="0" w:line="240" w:lineRule="auto"/>
              <w:jc w:val="left"/>
              <w:rPr>
                <w:rFonts w:ascii="Garamond" w:eastAsia="Times New Roman" w:hAnsi="Garamond" w:cs="Arial"/>
                <w:bCs w:val="0"/>
                <w:szCs w:val="22"/>
                <w:lang w:val="en-GB" w:eastAsia="fr-CH"/>
              </w:rPr>
            </w:pPr>
            <w:proofErr w:type="spellStart"/>
            <w:r w:rsidRPr="0017096B">
              <w:rPr>
                <w:rFonts w:ascii="Garamond" w:eastAsia="Times New Roman" w:hAnsi="Garamond" w:cs="Arial"/>
                <w:bCs w:val="0"/>
                <w:szCs w:val="22"/>
                <w:lang w:val="en-GB" w:eastAsia="fr-CH"/>
              </w:rPr>
              <w:t>Nber</w:t>
            </w:r>
            <w:proofErr w:type="spellEnd"/>
            <w:r w:rsidRPr="0017096B">
              <w:rPr>
                <w:rFonts w:ascii="Garamond" w:eastAsia="Times New Roman" w:hAnsi="Garamond" w:cs="Arial"/>
                <w:bCs w:val="0"/>
                <w:szCs w:val="22"/>
                <w:lang w:val="en-GB" w:eastAsia="fr-CH"/>
              </w:rPr>
              <w:t xml:space="preserve"> of exported products (t-1)</w:t>
            </w: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-0.008***</w:t>
            </w: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-0.008***</w:t>
            </w: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-0.008***</w:t>
            </w:r>
          </w:p>
        </w:tc>
      </w:tr>
      <w:tr w:rsidR="00D471FF" w:rsidRPr="00D471FF" w:rsidTr="00D471FF">
        <w:trPr>
          <w:trHeight w:val="300"/>
          <w:jc w:val="center"/>
        </w:trPr>
        <w:tc>
          <w:tcPr>
            <w:tcW w:w="350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left"/>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(0.001)</w:t>
            </w: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(0.001)</w:t>
            </w: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(0.001)</w:t>
            </w:r>
          </w:p>
        </w:tc>
      </w:tr>
      <w:tr w:rsidR="00D471FF" w:rsidRPr="00D471FF" w:rsidTr="00D471FF">
        <w:trPr>
          <w:trHeight w:val="300"/>
          <w:jc w:val="center"/>
        </w:trPr>
        <w:tc>
          <w:tcPr>
            <w:tcW w:w="350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left"/>
              <w:rPr>
                <w:rFonts w:ascii="Garamond" w:eastAsia="Times New Roman" w:hAnsi="Garamond" w:cs="Arial"/>
                <w:bCs w:val="0"/>
                <w:szCs w:val="22"/>
                <w:lang w:val="fr-CH" w:eastAsia="fr-CH"/>
              </w:rPr>
            </w:pPr>
            <w:proofErr w:type="spellStart"/>
            <w:r w:rsidRPr="00D471FF">
              <w:rPr>
                <w:rFonts w:ascii="Garamond" w:eastAsia="Times New Roman" w:hAnsi="Garamond" w:cs="Arial"/>
                <w:bCs w:val="0"/>
                <w:szCs w:val="22"/>
                <w:lang w:val="fr-CH" w:eastAsia="fr-CH"/>
              </w:rPr>
              <w:t>Nber</w:t>
            </w:r>
            <w:proofErr w:type="spellEnd"/>
            <w:r w:rsidRPr="00D471FF">
              <w:rPr>
                <w:rFonts w:ascii="Garamond" w:eastAsia="Times New Roman" w:hAnsi="Garamond" w:cs="Arial"/>
                <w:bCs w:val="0"/>
                <w:szCs w:val="22"/>
                <w:lang w:val="fr-CH" w:eastAsia="fr-CH"/>
              </w:rPr>
              <w:t xml:space="preserve"> of export destinations (t-1)</w:t>
            </w: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0.010**</w:t>
            </w: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0.010**</w:t>
            </w: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0.011**</w:t>
            </w:r>
          </w:p>
        </w:tc>
      </w:tr>
      <w:tr w:rsidR="00D471FF" w:rsidRPr="00D471FF" w:rsidTr="00D471FF">
        <w:trPr>
          <w:trHeight w:val="300"/>
          <w:jc w:val="center"/>
        </w:trPr>
        <w:tc>
          <w:tcPr>
            <w:tcW w:w="350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left"/>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(0.004)</w:t>
            </w: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(0.005)</w:t>
            </w: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(0.004)</w:t>
            </w:r>
          </w:p>
        </w:tc>
      </w:tr>
      <w:tr w:rsidR="00D471FF" w:rsidRPr="00D471FF" w:rsidTr="00D471FF">
        <w:trPr>
          <w:trHeight w:val="300"/>
          <w:jc w:val="center"/>
        </w:trPr>
        <w:tc>
          <w:tcPr>
            <w:tcW w:w="350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left"/>
              <w:rPr>
                <w:rFonts w:ascii="Garamond" w:eastAsia="Times New Roman" w:hAnsi="Garamond" w:cs="Arial"/>
                <w:bCs w:val="0"/>
                <w:szCs w:val="22"/>
                <w:lang w:val="fr-CH" w:eastAsia="fr-CH"/>
              </w:rPr>
            </w:pPr>
            <w:proofErr w:type="spellStart"/>
            <w:r w:rsidRPr="00D471FF">
              <w:rPr>
                <w:rFonts w:ascii="Garamond" w:eastAsia="Times New Roman" w:hAnsi="Garamond" w:cs="Arial"/>
                <w:bCs w:val="0"/>
                <w:szCs w:val="22"/>
                <w:lang w:val="fr-CH" w:eastAsia="fr-CH"/>
              </w:rPr>
              <w:t>homogeneous</w:t>
            </w:r>
            <w:proofErr w:type="spellEnd"/>
            <w:r w:rsidRPr="00D471FF">
              <w:rPr>
                <w:rFonts w:ascii="Garamond" w:eastAsia="Times New Roman" w:hAnsi="Garamond" w:cs="Arial"/>
                <w:bCs w:val="0"/>
                <w:szCs w:val="22"/>
                <w:lang w:val="fr-CH" w:eastAsia="fr-CH"/>
              </w:rPr>
              <w:t xml:space="preserve"> good</w:t>
            </w: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0.019</w:t>
            </w: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0.062</w:t>
            </w:r>
          </w:p>
        </w:tc>
      </w:tr>
      <w:tr w:rsidR="00D471FF" w:rsidRPr="00D471FF" w:rsidTr="00D471FF">
        <w:trPr>
          <w:trHeight w:val="300"/>
          <w:jc w:val="center"/>
        </w:trPr>
        <w:tc>
          <w:tcPr>
            <w:tcW w:w="350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left"/>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(0.042)</w:t>
            </w: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(0.043)</w:t>
            </w:r>
          </w:p>
        </w:tc>
      </w:tr>
      <w:tr w:rsidR="00D471FF" w:rsidRPr="00D471FF" w:rsidTr="00D471FF">
        <w:trPr>
          <w:trHeight w:val="300"/>
          <w:jc w:val="center"/>
        </w:trPr>
        <w:tc>
          <w:tcPr>
            <w:tcW w:w="350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left"/>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support program</w:t>
            </w: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0.179**</w:t>
            </w: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0.179</w:t>
            </w:r>
          </w:p>
        </w:tc>
      </w:tr>
      <w:tr w:rsidR="00D471FF" w:rsidRPr="00D471FF" w:rsidTr="00D471FF">
        <w:trPr>
          <w:trHeight w:val="300"/>
          <w:jc w:val="center"/>
        </w:trPr>
        <w:tc>
          <w:tcPr>
            <w:tcW w:w="350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left"/>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(0.071)</w:t>
            </w: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(0.180)</w:t>
            </w:r>
          </w:p>
        </w:tc>
      </w:tr>
      <w:tr w:rsidR="00D471FF" w:rsidRPr="00D471FF" w:rsidTr="00D471FF">
        <w:trPr>
          <w:trHeight w:val="300"/>
          <w:jc w:val="center"/>
        </w:trPr>
        <w:tc>
          <w:tcPr>
            <w:tcW w:w="350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left"/>
              <w:rPr>
                <w:rFonts w:ascii="Garamond" w:eastAsia="Times New Roman" w:hAnsi="Garamond" w:cs="Arial"/>
                <w:bCs w:val="0"/>
                <w:szCs w:val="22"/>
                <w:lang w:val="fr-CH" w:eastAsia="fr-CH"/>
              </w:rPr>
            </w:pPr>
            <w:proofErr w:type="spellStart"/>
            <w:r w:rsidRPr="00D471FF">
              <w:rPr>
                <w:rFonts w:ascii="Garamond" w:eastAsia="Times New Roman" w:hAnsi="Garamond" w:cs="Arial"/>
                <w:bCs w:val="0"/>
                <w:szCs w:val="22"/>
                <w:lang w:val="fr-CH" w:eastAsia="fr-CH"/>
              </w:rPr>
              <w:t>demand</w:t>
            </w:r>
            <w:proofErr w:type="spellEnd"/>
            <w:r w:rsidRPr="00D471FF">
              <w:rPr>
                <w:rFonts w:ascii="Garamond" w:eastAsia="Times New Roman" w:hAnsi="Garamond" w:cs="Arial"/>
                <w:bCs w:val="0"/>
                <w:szCs w:val="22"/>
                <w:lang w:val="fr-CH" w:eastAsia="fr-CH"/>
              </w:rPr>
              <w:t xml:space="preserve"> </w:t>
            </w:r>
            <w:proofErr w:type="spellStart"/>
            <w:r w:rsidRPr="00D471FF">
              <w:rPr>
                <w:rFonts w:ascii="Garamond" w:eastAsia="Times New Roman" w:hAnsi="Garamond" w:cs="Arial"/>
                <w:bCs w:val="0"/>
                <w:szCs w:val="22"/>
                <w:lang w:val="fr-CH" w:eastAsia="fr-CH"/>
              </w:rPr>
              <w:t>growth</w:t>
            </w:r>
            <w:proofErr w:type="spellEnd"/>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0.027</w:t>
            </w: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0.019</w:t>
            </w:r>
          </w:p>
        </w:tc>
      </w:tr>
      <w:tr w:rsidR="00D471FF" w:rsidRPr="00D471FF" w:rsidTr="00D471FF">
        <w:trPr>
          <w:trHeight w:val="300"/>
          <w:jc w:val="center"/>
        </w:trPr>
        <w:tc>
          <w:tcPr>
            <w:tcW w:w="350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left"/>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(0.034)</w:t>
            </w: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(0.034)</w:t>
            </w:r>
          </w:p>
        </w:tc>
      </w:tr>
      <w:tr w:rsidR="00D471FF" w:rsidRPr="00D471FF" w:rsidTr="00D471FF">
        <w:trPr>
          <w:trHeight w:val="300"/>
          <w:jc w:val="center"/>
        </w:trPr>
        <w:tc>
          <w:tcPr>
            <w:tcW w:w="3500" w:type="dxa"/>
            <w:tcBorders>
              <w:top w:val="nil"/>
              <w:left w:val="nil"/>
              <w:bottom w:val="nil"/>
              <w:right w:val="nil"/>
            </w:tcBorders>
            <w:shd w:val="clear" w:color="auto" w:fill="auto"/>
            <w:noWrap/>
            <w:vAlign w:val="bottom"/>
            <w:hideMark/>
          </w:tcPr>
          <w:p w:rsidR="00D471FF" w:rsidRPr="0017096B" w:rsidRDefault="00D471FF" w:rsidP="00E314F0">
            <w:pPr>
              <w:keepNext w:val="0"/>
              <w:widowControl w:val="0"/>
              <w:spacing w:after="0" w:line="240" w:lineRule="auto"/>
              <w:jc w:val="left"/>
              <w:rPr>
                <w:rFonts w:ascii="Garamond" w:eastAsia="Times New Roman" w:hAnsi="Garamond" w:cs="Arial"/>
                <w:bCs w:val="0"/>
                <w:szCs w:val="22"/>
                <w:lang w:val="en-GB" w:eastAsia="fr-CH"/>
              </w:rPr>
            </w:pPr>
            <w:proofErr w:type="spellStart"/>
            <w:r w:rsidRPr="0017096B">
              <w:rPr>
                <w:rFonts w:ascii="Garamond" w:eastAsia="Times New Roman" w:hAnsi="Garamond" w:cs="Arial"/>
                <w:bCs w:val="0"/>
                <w:szCs w:val="22"/>
                <w:lang w:val="en-GB" w:eastAsia="fr-CH"/>
              </w:rPr>
              <w:t>Nber</w:t>
            </w:r>
            <w:proofErr w:type="spellEnd"/>
            <w:r w:rsidRPr="0017096B">
              <w:rPr>
                <w:rFonts w:ascii="Garamond" w:eastAsia="Times New Roman" w:hAnsi="Garamond" w:cs="Arial"/>
                <w:bCs w:val="0"/>
                <w:szCs w:val="22"/>
                <w:lang w:val="en-GB" w:eastAsia="fr-CH"/>
              </w:rPr>
              <w:t xml:space="preserve"> of exporters, same product (t-1)</w:t>
            </w:r>
          </w:p>
        </w:tc>
        <w:tc>
          <w:tcPr>
            <w:tcW w:w="1240" w:type="dxa"/>
            <w:tcBorders>
              <w:top w:val="nil"/>
              <w:left w:val="nil"/>
              <w:bottom w:val="nil"/>
              <w:right w:val="nil"/>
            </w:tcBorders>
            <w:shd w:val="clear" w:color="auto" w:fill="auto"/>
            <w:noWrap/>
            <w:vAlign w:val="bottom"/>
            <w:hideMark/>
          </w:tcPr>
          <w:p w:rsidR="00D471FF" w:rsidRPr="0017096B" w:rsidRDefault="00D471FF" w:rsidP="00E314F0">
            <w:pPr>
              <w:keepNext w:val="0"/>
              <w:widowControl w:val="0"/>
              <w:spacing w:after="0" w:line="240" w:lineRule="auto"/>
              <w:jc w:val="center"/>
              <w:rPr>
                <w:rFonts w:ascii="Garamond" w:eastAsia="Times New Roman" w:hAnsi="Garamond" w:cs="Arial"/>
                <w:bCs w:val="0"/>
                <w:szCs w:val="22"/>
                <w:lang w:val="en-GB" w:eastAsia="fr-CH"/>
              </w:rPr>
            </w:pPr>
          </w:p>
        </w:tc>
        <w:tc>
          <w:tcPr>
            <w:tcW w:w="1240" w:type="dxa"/>
            <w:tcBorders>
              <w:top w:val="nil"/>
              <w:left w:val="nil"/>
              <w:bottom w:val="nil"/>
              <w:right w:val="nil"/>
            </w:tcBorders>
            <w:shd w:val="clear" w:color="auto" w:fill="auto"/>
            <w:noWrap/>
            <w:vAlign w:val="bottom"/>
            <w:hideMark/>
          </w:tcPr>
          <w:p w:rsidR="00D471FF" w:rsidRPr="0017096B" w:rsidRDefault="00D471FF" w:rsidP="00E314F0">
            <w:pPr>
              <w:keepNext w:val="0"/>
              <w:widowControl w:val="0"/>
              <w:spacing w:after="0" w:line="240" w:lineRule="auto"/>
              <w:jc w:val="center"/>
              <w:rPr>
                <w:rFonts w:ascii="Garamond" w:eastAsia="Times New Roman" w:hAnsi="Garamond" w:cs="Arial"/>
                <w:bCs w:val="0"/>
                <w:szCs w:val="22"/>
                <w:lang w:val="en-GB" w:eastAsia="fr-CH"/>
              </w:rPr>
            </w:pP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0.010***</w:t>
            </w:r>
          </w:p>
        </w:tc>
      </w:tr>
      <w:tr w:rsidR="00D471FF" w:rsidRPr="00D471FF" w:rsidTr="00D471FF">
        <w:trPr>
          <w:trHeight w:val="300"/>
          <w:jc w:val="center"/>
        </w:trPr>
        <w:tc>
          <w:tcPr>
            <w:tcW w:w="350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left"/>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(0.003)</w:t>
            </w:r>
          </w:p>
        </w:tc>
      </w:tr>
      <w:tr w:rsidR="00D471FF" w:rsidRPr="00D471FF" w:rsidTr="00D471FF">
        <w:trPr>
          <w:trHeight w:val="300"/>
          <w:jc w:val="center"/>
        </w:trPr>
        <w:tc>
          <w:tcPr>
            <w:tcW w:w="350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left"/>
              <w:rPr>
                <w:rFonts w:ascii="Garamond" w:eastAsia="Times New Roman" w:hAnsi="Garamond" w:cs="Arial"/>
                <w:bCs w:val="0"/>
                <w:szCs w:val="22"/>
                <w:lang w:val="fr-CH" w:eastAsia="fr-CH"/>
              </w:rPr>
            </w:pPr>
            <w:proofErr w:type="spellStart"/>
            <w:r w:rsidRPr="00D471FF">
              <w:rPr>
                <w:rFonts w:ascii="Garamond" w:eastAsia="Times New Roman" w:hAnsi="Garamond" w:cs="Arial"/>
                <w:bCs w:val="0"/>
                <w:szCs w:val="22"/>
                <w:lang w:val="fr-CH" w:eastAsia="fr-CH"/>
              </w:rPr>
              <w:t>product</w:t>
            </w:r>
            <w:proofErr w:type="spellEnd"/>
            <w:r w:rsidRPr="00D471FF">
              <w:rPr>
                <w:rFonts w:ascii="Garamond" w:eastAsia="Times New Roman" w:hAnsi="Garamond" w:cs="Arial"/>
                <w:bCs w:val="0"/>
                <w:szCs w:val="22"/>
                <w:lang w:val="fr-CH" w:eastAsia="fr-CH"/>
              </w:rPr>
              <w:t xml:space="preserve"> </w:t>
            </w:r>
            <w:proofErr w:type="spellStart"/>
            <w:r w:rsidRPr="00D471FF">
              <w:rPr>
                <w:rFonts w:ascii="Garamond" w:eastAsia="Times New Roman" w:hAnsi="Garamond" w:cs="Arial"/>
                <w:bCs w:val="0"/>
                <w:szCs w:val="22"/>
                <w:lang w:val="fr-CH" w:eastAsia="fr-CH"/>
              </w:rPr>
              <w:t>exp</w:t>
            </w:r>
            <w:proofErr w:type="spellEnd"/>
            <w:r w:rsidRPr="00D471FF">
              <w:rPr>
                <w:rFonts w:ascii="Garamond" w:eastAsia="Times New Roman" w:hAnsi="Garamond" w:cs="Arial"/>
                <w:bCs w:val="0"/>
                <w:szCs w:val="22"/>
                <w:lang w:val="fr-CH" w:eastAsia="fr-CH"/>
              </w:rPr>
              <w:t>. * homo. good</w:t>
            </w: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-0.060**</w:t>
            </w:r>
          </w:p>
        </w:tc>
      </w:tr>
      <w:tr w:rsidR="00D471FF" w:rsidRPr="00D471FF" w:rsidTr="00D471FF">
        <w:trPr>
          <w:trHeight w:val="300"/>
          <w:jc w:val="center"/>
        </w:trPr>
        <w:tc>
          <w:tcPr>
            <w:tcW w:w="350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left"/>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(0.028)</w:t>
            </w:r>
          </w:p>
        </w:tc>
      </w:tr>
      <w:tr w:rsidR="00D471FF" w:rsidRPr="00D471FF" w:rsidTr="00D471FF">
        <w:trPr>
          <w:trHeight w:val="300"/>
          <w:jc w:val="center"/>
        </w:trPr>
        <w:tc>
          <w:tcPr>
            <w:tcW w:w="350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left"/>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size (t-1) * program</w:t>
            </w: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-0.003</w:t>
            </w:r>
          </w:p>
        </w:tc>
      </w:tr>
      <w:tr w:rsidR="00D471FF" w:rsidRPr="00D471FF" w:rsidTr="00D471FF">
        <w:trPr>
          <w:trHeight w:val="300"/>
          <w:jc w:val="center"/>
        </w:trPr>
        <w:tc>
          <w:tcPr>
            <w:tcW w:w="350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left"/>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(0.027)</w:t>
            </w:r>
          </w:p>
        </w:tc>
      </w:tr>
      <w:tr w:rsidR="00D471FF" w:rsidRPr="00D471FF" w:rsidTr="00D471FF">
        <w:trPr>
          <w:trHeight w:val="300"/>
          <w:jc w:val="center"/>
        </w:trPr>
        <w:tc>
          <w:tcPr>
            <w:tcW w:w="3500" w:type="dxa"/>
            <w:tcBorders>
              <w:top w:val="nil"/>
              <w:left w:val="nil"/>
              <w:bottom w:val="single" w:sz="4" w:space="0" w:color="auto"/>
              <w:right w:val="nil"/>
            </w:tcBorders>
            <w:shd w:val="clear" w:color="auto" w:fill="auto"/>
            <w:noWrap/>
            <w:vAlign w:val="bottom"/>
            <w:hideMark/>
          </w:tcPr>
          <w:p w:rsidR="00D471FF" w:rsidRPr="00D471FF" w:rsidRDefault="00D471FF" w:rsidP="00E314F0">
            <w:pPr>
              <w:keepNext w:val="0"/>
              <w:widowControl w:val="0"/>
              <w:spacing w:after="0" w:line="240" w:lineRule="auto"/>
              <w:jc w:val="left"/>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 </w:t>
            </w: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p>
        </w:tc>
        <w:tc>
          <w:tcPr>
            <w:tcW w:w="124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p>
        </w:tc>
      </w:tr>
      <w:tr w:rsidR="00D471FF" w:rsidRPr="00D471FF" w:rsidTr="00D471FF">
        <w:trPr>
          <w:trHeight w:val="300"/>
          <w:jc w:val="center"/>
        </w:trPr>
        <w:tc>
          <w:tcPr>
            <w:tcW w:w="3500" w:type="dxa"/>
            <w:tcBorders>
              <w:top w:val="nil"/>
              <w:left w:val="nil"/>
              <w:bottom w:val="nil"/>
              <w:right w:val="nil"/>
            </w:tcBorders>
            <w:shd w:val="clear" w:color="auto" w:fill="auto"/>
            <w:noWrap/>
            <w:vAlign w:val="bottom"/>
            <w:hideMark/>
          </w:tcPr>
          <w:p w:rsidR="00D471FF" w:rsidRPr="00D471FF" w:rsidRDefault="00D471FF" w:rsidP="00E314F0">
            <w:pPr>
              <w:keepNext w:val="0"/>
              <w:widowControl w:val="0"/>
              <w:spacing w:after="0" w:line="240" w:lineRule="auto"/>
              <w:jc w:val="left"/>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Observations</w:t>
            </w:r>
          </w:p>
        </w:tc>
        <w:tc>
          <w:tcPr>
            <w:tcW w:w="1240" w:type="dxa"/>
            <w:tcBorders>
              <w:top w:val="single" w:sz="4" w:space="0" w:color="auto"/>
              <w:left w:val="nil"/>
              <w:bottom w:val="single" w:sz="4" w:space="0" w:color="auto"/>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2'780</w:t>
            </w:r>
          </w:p>
        </w:tc>
        <w:tc>
          <w:tcPr>
            <w:tcW w:w="1240" w:type="dxa"/>
            <w:tcBorders>
              <w:top w:val="single" w:sz="4" w:space="0" w:color="auto"/>
              <w:left w:val="nil"/>
              <w:bottom w:val="single" w:sz="4" w:space="0" w:color="auto"/>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2'481</w:t>
            </w:r>
          </w:p>
        </w:tc>
        <w:tc>
          <w:tcPr>
            <w:tcW w:w="1240" w:type="dxa"/>
            <w:tcBorders>
              <w:top w:val="single" w:sz="4" w:space="0" w:color="auto"/>
              <w:left w:val="nil"/>
              <w:bottom w:val="single" w:sz="4" w:space="0" w:color="auto"/>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2'481</w:t>
            </w:r>
          </w:p>
        </w:tc>
      </w:tr>
      <w:tr w:rsidR="00D471FF" w:rsidRPr="00D471FF" w:rsidTr="00D471FF">
        <w:trPr>
          <w:trHeight w:val="315"/>
          <w:jc w:val="center"/>
        </w:trPr>
        <w:tc>
          <w:tcPr>
            <w:tcW w:w="3500" w:type="dxa"/>
            <w:tcBorders>
              <w:top w:val="single" w:sz="4" w:space="0" w:color="auto"/>
              <w:left w:val="nil"/>
              <w:bottom w:val="single" w:sz="8" w:space="0" w:color="auto"/>
              <w:right w:val="nil"/>
            </w:tcBorders>
            <w:shd w:val="clear" w:color="auto" w:fill="auto"/>
            <w:noWrap/>
            <w:vAlign w:val="bottom"/>
            <w:hideMark/>
          </w:tcPr>
          <w:p w:rsidR="00D471FF" w:rsidRPr="00D471FF" w:rsidRDefault="00D471FF" w:rsidP="00E314F0">
            <w:pPr>
              <w:keepNext w:val="0"/>
              <w:widowControl w:val="0"/>
              <w:spacing w:after="0" w:line="240" w:lineRule="auto"/>
              <w:jc w:val="left"/>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R-</w:t>
            </w:r>
            <w:proofErr w:type="spellStart"/>
            <w:r w:rsidRPr="00D471FF">
              <w:rPr>
                <w:rFonts w:ascii="Garamond" w:eastAsia="Times New Roman" w:hAnsi="Garamond" w:cs="Arial"/>
                <w:bCs w:val="0"/>
                <w:szCs w:val="22"/>
                <w:lang w:val="fr-CH" w:eastAsia="fr-CH"/>
              </w:rPr>
              <w:t>squared</w:t>
            </w:r>
            <w:proofErr w:type="spellEnd"/>
          </w:p>
        </w:tc>
        <w:tc>
          <w:tcPr>
            <w:tcW w:w="1240" w:type="dxa"/>
            <w:tcBorders>
              <w:top w:val="nil"/>
              <w:left w:val="nil"/>
              <w:bottom w:val="single" w:sz="4" w:space="0" w:color="auto"/>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0.471</w:t>
            </w:r>
          </w:p>
        </w:tc>
        <w:tc>
          <w:tcPr>
            <w:tcW w:w="1240" w:type="dxa"/>
            <w:tcBorders>
              <w:top w:val="nil"/>
              <w:left w:val="nil"/>
              <w:bottom w:val="single" w:sz="4" w:space="0" w:color="auto"/>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0.477</w:t>
            </w:r>
          </w:p>
        </w:tc>
        <w:tc>
          <w:tcPr>
            <w:tcW w:w="1240" w:type="dxa"/>
            <w:tcBorders>
              <w:top w:val="nil"/>
              <w:left w:val="nil"/>
              <w:bottom w:val="single" w:sz="4" w:space="0" w:color="auto"/>
              <w:right w:val="nil"/>
            </w:tcBorders>
            <w:shd w:val="clear" w:color="auto" w:fill="auto"/>
            <w:noWrap/>
            <w:vAlign w:val="bottom"/>
            <w:hideMark/>
          </w:tcPr>
          <w:p w:rsidR="00D471FF" w:rsidRPr="00D471FF" w:rsidRDefault="00D471FF" w:rsidP="00E314F0">
            <w:pPr>
              <w:keepNext w:val="0"/>
              <w:widowControl w:val="0"/>
              <w:spacing w:after="0" w:line="240" w:lineRule="auto"/>
              <w:jc w:val="center"/>
              <w:rPr>
                <w:rFonts w:ascii="Garamond" w:eastAsia="Times New Roman" w:hAnsi="Garamond" w:cs="Arial"/>
                <w:bCs w:val="0"/>
                <w:szCs w:val="22"/>
                <w:lang w:val="fr-CH" w:eastAsia="fr-CH"/>
              </w:rPr>
            </w:pPr>
            <w:r w:rsidRPr="00D471FF">
              <w:rPr>
                <w:rFonts w:ascii="Garamond" w:eastAsia="Times New Roman" w:hAnsi="Garamond" w:cs="Arial"/>
                <w:bCs w:val="0"/>
                <w:szCs w:val="22"/>
                <w:lang w:val="fr-CH" w:eastAsia="fr-CH"/>
              </w:rPr>
              <w:t>0.480</w:t>
            </w:r>
          </w:p>
        </w:tc>
      </w:tr>
      <w:tr w:rsidR="00D471FF" w:rsidRPr="00D471FF" w:rsidTr="0001586F">
        <w:trPr>
          <w:trHeight w:val="255"/>
          <w:jc w:val="center"/>
        </w:trPr>
        <w:tc>
          <w:tcPr>
            <w:tcW w:w="7220" w:type="dxa"/>
            <w:gridSpan w:val="4"/>
            <w:vMerge w:val="restart"/>
            <w:tcBorders>
              <w:top w:val="single" w:sz="8" w:space="0" w:color="auto"/>
              <w:left w:val="nil"/>
              <w:bottom w:val="nil"/>
              <w:right w:val="nil"/>
            </w:tcBorders>
            <w:shd w:val="clear" w:color="auto" w:fill="auto"/>
            <w:hideMark/>
          </w:tcPr>
          <w:p w:rsidR="00D471FF" w:rsidRPr="00D471FF" w:rsidRDefault="00D471FF" w:rsidP="00E314F0">
            <w:pPr>
              <w:keepNext w:val="0"/>
              <w:widowControl w:val="0"/>
              <w:spacing w:after="0" w:line="240" w:lineRule="auto"/>
              <w:jc w:val="left"/>
              <w:rPr>
                <w:rFonts w:ascii="Garamond" w:eastAsia="Times New Roman" w:hAnsi="Garamond" w:cs="Arial"/>
                <w:bCs w:val="0"/>
                <w:sz w:val="20"/>
                <w:szCs w:val="20"/>
                <w:lang w:val="fr-CH" w:eastAsia="fr-CH"/>
              </w:rPr>
            </w:pPr>
            <w:r w:rsidRPr="0017096B">
              <w:rPr>
                <w:rFonts w:ascii="Garamond" w:eastAsia="Times New Roman" w:hAnsi="Garamond" w:cs="Arial"/>
                <w:bCs w:val="0"/>
                <w:sz w:val="20"/>
                <w:szCs w:val="20"/>
                <w:lang w:val="en-GB" w:eastAsia="fr-CH"/>
              </w:rPr>
              <w:t>Product (HS 2-digit) and time fixed effects are included in all specifications but are not shown. Errors are cluster</w:t>
            </w:r>
            <w:r w:rsidR="007F64E8" w:rsidRPr="0017096B">
              <w:rPr>
                <w:rFonts w:ascii="Garamond" w:eastAsia="Times New Roman" w:hAnsi="Garamond" w:cs="Arial"/>
                <w:bCs w:val="0"/>
                <w:sz w:val="20"/>
                <w:szCs w:val="20"/>
                <w:lang w:val="en-GB" w:eastAsia="fr-CH"/>
              </w:rPr>
              <w:t>ed</w:t>
            </w:r>
            <w:r w:rsidRPr="0017096B">
              <w:rPr>
                <w:rFonts w:ascii="Garamond" w:eastAsia="Times New Roman" w:hAnsi="Garamond" w:cs="Arial"/>
                <w:bCs w:val="0"/>
                <w:sz w:val="20"/>
                <w:szCs w:val="20"/>
                <w:lang w:val="en-GB" w:eastAsia="fr-CH"/>
              </w:rPr>
              <w:t xml:space="preserve"> by product. Robust standard errors in parentheses. </w:t>
            </w:r>
            <w:proofErr w:type="spellStart"/>
            <w:r w:rsidRPr="00D471FF">
              <w:rPr>
                <w:rFonts w:ascii="Garamond" w:eastAsia="Times New Roman" w:hAnsi="Garamond" w:cs="Arial"/>
                <w:bCs w:val="0"/>
                <w:sz w:val="20"/>
                <w:szCs w:val="20"/>
                <w:lang w:val="fr-CH" w:eastAsia="fr-CH"/>
              </w:rPr>
              <w:t>Significance</w:t>
            </w:r>
            <w:proofErr w:type="spellEnd"/>
            <w:r w:rsidRPr="00D471FF">
              <w:rPr>
                <w:rFonts w:ascii="Garamond" w:eastAsia="Times New Roman" w:hAnsi="Garamond" w:cs="Arial"/>
                <w:bCs w:val="0"/>
                <w:sz w:val="20"/>
                <w:szCs w:val="20"/>
                <w:lang w:val="fr-CH" w:eastAsia="fr-CH"/>
              </w:rPr>
              <w:t xml:space="preserve"> </w:t>
            </w:r>
            <w:proofErr w:type="spellStart"/>
            <w:r w:rsidRPr="00D471FF">
              <w:rPr>
                <w:rFonts w:ascii="Garamond" w:eastAsia="Times New Roman" w:hAnsi="Garamond" w:cs="Arial"/>
                <w:bCs w:val="0"/>
                <w:sz w:val="20"/>
                <w:szCs w:val="20"/>
                <w:lang w:val="fr-CH" w:eastAsia="fr-CH"/>
              </w:rPr>
              <w:t>levels</w:t>
            </w:r>
            <w:proofErr w:type="spellEnd"/>
            <w:r w:rsidRPr="00D471FF">
              <w:rPr>
                <w:rFonts w:ascii="Garamond" w:eastAsia="Times New Roman" w:hAnsi="Garamond" w:cs="Arial"/>
                <w:bCs w:val="0"/>
                <w:sz w:val="20"/>
                <w:szCs w:val="20"/>
                <w:lang w:val="fr-CH" w:eastAsia="fr-CH"/>
              </w:rPr>
              <w:t xml:space="preserve"> *** p&lt;0.01, ** p&lt;0.05, * p&lt;0.1.</w:t>
            </w:r>
          </w:p>
        </w:tc>
      </w:tr>
      <w:tr w:rsidR="00D471FF" w:rsidRPr="00D471FF" w:rsidTr="00D471FF">
        <w:trPr>
          <w:trHeight w:val="255"/>
          <w:jc w:val="center"/>
        </w:trPr>
        <w:tc>
          <w:tcPr>
            <w:tcW w:w="7220" w:type="dxa"/>
            <w:gridSpan w:val="4"/>
            <w:vMerge/>
            <w:tcBorders>
              <w:top w:val="single" w:sz="8" w:space="0" w:color="auto"/>
              <w:left w:val="nil"/>
              <w:bottom w:val="nil"/>
              <w:right w:val="nil"/>
            </w:tcBorders>
            <w:vAlign w:val="center"/>
            <w:hideMark/>
          </w:tcPr>
          <w:p w:rsidR="00D471FF" w:rsidRPr="00D471FF" w:rsidRDefault="00D471FF" w:rsidP="00E314F0">
            <w:pPr>
              <w:keepNext w:val="0"/>
              <w:widowControl w:val="0"/>
              <w:spacing w:after="0" w:line="240" w:lineRule="auto"/>
              <w:jc w:val="left"/>
              <w:rPr>
                <w:rFonts w:ascii="Garamond" w:eastAsia="Times New Roman" w:hAnsi="Garamond" w:cs="Arial"/>
                <w:bCs w:val="0"/>
                <w:sz w:val="20"/>
                <w:szCs w:val="20"/>
                <w:lang w:val="fr-CH" w:eastAsia="fr-CH"/>
              </w:rPr>
            </w:pPr>
          </w:p>
        </w:tc>
      </w:tr>
      <w:tr w:rsidR="00D471FF" w:rsidRPr="00D471FF" w:rsidTr="00D471FF">
        <w:trPr>
          <w:trHeight w:val="255"/>
          <w:jc w:val="center"/>
        </w:trPr>
        <w:tc>
          <w:tcPr>
            <w:tcW w:w="7220" w:type="dxa"/>
            <w:gridSpan w:val="4"/>
            <w:vMerge/>
            <w:tcBorders>
              <w:top w:val="single" w:sz="8" w:space="0" w:color="auto"/>
              <w:left w:val="nil"/>
              <w:bottom w:val="nil"/>
              <w:right w:val="nil"/>
            </w:tcBorders>
            <w:vAlign w:val="center"/>
            <w:hideMark/>
          </w:tcPr>
          <w:p w:rsidR="00D471FF" w:rsidRPr="00D471FF" w:rsidRDefault="00D471FF" w:rsidP="00E314F0">
            <w:pPr>
              <w:keepNext w:val="0"/>
              <w:widowControl w:val="0"/>
              <w:spacing w:after="0" w:line="240" w:lineRule="auto"/>
              <w:jc w:val="left"/>
              <w:rPr>
                <w:rFonts w:ascii="Garamond" w:eastAsia="Times New Roman" w:hAnsi="Garamond" w:cs="Arial"/>
                <w:bCs w:val="0"/>
                <w:sz w:val="20"/>
                <w:szCs w:val="20"/>
                <w:lang w:val="fr-CH" w:eastAsia="fr-CH"/>
              </w:rPr>
            </w:pPr>
          </w:p>
        </w:tc>
      </w:tr>
    </w:tbl>
    <w:p w:rsidR="007F64E8" w:rsidRPr="007F64E8" w:rsidRDefault="007F64E8" w:rsidP="00E314F0">
      <w:pPr>
        <w:keepNext w:val="0"/>
        <w:widowControl w:val="0"/>
        <w:spacing w:before="240"/>
      </w:pPr>
      <w:r w:rsidRPr="007F64E8">
        <w:t xml:space="preserve">The results suggest that product experience matters for market diversification. </w:t>
      </w:r>
      <w:r w:rsidR="00086E38" w:rsidRPr="007F64E8">
        <w:t xml:space="preserve">Exporters with a previous experience in selling product </w:t>
      </w:r>
      <w:r w:rsidR="00086E38" w:rsidRPr="007F64E8">
        <w:rPr>
          <w:i/>
          <w:iCs/>
        </w:rPr>
        <w:t>p</w:t>
      </w:r>
      <w:r w:rsidR="00086E38" w:rsidRPr="007F64E8">
        <w:t xml:space="preserve"> are more likely to break into a new market. </w:t>
      </w:r>
      <w:r w:rsidR="00B34621">
        <w:t>Indeed</w:t>
      </w:r>
      <w:r w:rsidR="003D04CD">
        <w:t>,</w:t>
      </w:r>
      <w:r w:rsidR="00B34621">
        <w:t xml:space="preserve"> i</w:t>
      </w:r>
      <w:r w:rsidRPr="007F64E8">
        <w:t xml:space="preserve">t is </w:t>
      </w:r>
      <w:r w:rsidR="00D618E2">
        <w:t xml:space="preserve">reasonable to find </w:t>
      </w:r>
      <w:r w:rsidRPr="007F64E8">
        <w:t xml:space="preserve">that exporters will venture into new markets with products that were successfully exported elsewhere. </w:t>
      </w:r>
    </w:p>
    <w:p w:rsidR="007F64E8" w:rsidRPr="007F64E8" w:rsidRDefault="007F64E8" w:rsidP="00E314F0">
      <w:pPr>
        <w:keepNext w:val="0"/>
        <w:widowControl w:val="0"/>
        <w:spacing w:before="240"/>
      </w:pPr>
      <w:r w:rsidRPr="007F64E8">
        <w:t>The effect of exporter’s size is negative in all specification</w:t>
      </w:r>
      <w:r w:rsidR="00677791">
        <w:t>s and significant. This indicates</w:t>
      </w:r>
      <w:r w:rsidRPr="007F64E8">
        <w:t xml:space="preserve"> that exporters with the largest sales in the previous year would tend to penetrate fewer markets. Such result could be reflective of th</w:t>
      </w:r>
      <w:r w:rsidR="00AD4C41">
        <w:t>e exporters’ expansion strategy</w:t>
      </w:r>
      <w:r w:rsidR="00070999">
        <w:t xml:space="preserve">, </w:t>
      </w:r>
      <w:r w:rsidR="00AD4C41">
        <w:t>as some exporters may</w:t>
      </w:r>
      <w:r w:rsidRPr="007F64E8">
        <w:t xml:space="preserve"> prefer to consolidate their current market position </w:t>
      </w:r>
      <w:r w:rsidR="005C1F97">
        <w:t xml:space="preserve">before </w:t>
      </w:r>
      <w:r w:rsidRPr="007F64E8">
        <w:t>diversifying</w:t>
      </w:r>
      <w:r w:rsidR="005C1F97">
        <w:t xml:space="preserve"> further</w:t>
      </w:r>
      <w:r w:rsidRPr="007F64E8">
        <w:t xml:space="preserve">. </w:t>
      </w:r>
    </w:p>
    <w:p w:rsidR="007F64E8" w:rsidRPr="007F64E8" w:rsidRDefault="007F64E8" w:rsidP="00E314F0">
      <w:pPr>
        <w:keepNext w:val="0"/>
        <w:widowControl w:val="0"/>
        <w:spacing w:before="240"/>
      </w:pPr>
      <w:r w:rsidRPr="000F3C6B">
        <w:t>As for the effect of the number of exported products on the probability to serve a new market, it is negative and statistically signific</w:t>
      </w:r>
      <w:r w:rsidR="00E23D4C">
        <w:t xml:space="preserve">ant, although small. This </w:t>
      </w:r>
      <w:r w:rsidRPr="000F3C6B">
        <w:t>suggest</w:t>
      </w:r>
      <w:r w:rsidR="00E23D4C">
        <w:t>s</w:t>
      </w:r>
      <w:r w:rsidRPr="000F3C6B">
        <w:t xml:space="preserve"> that </w:t>
      </w:r>
      <w:r w:rsidR="002B651E" w:rsidRPr="000F3C6B">
        <w:t xml:space="preserve">it </w:t>
      </w:r>
      <w:r w:rsidRPr="000F3C6B">
        <w:t xml:space="preserve">is more difficult </w:t>
      </w:r>
      <w:r w:rsidR="00704097">
        <w:t xml:space="preserve">to diversify </w:t>
      </w:r>
      <w:r w:rsidR="00704097" w:rsidRPr="002C5E3A">
        <w:t xml:space="preserve">into new markets </w:t>
      </w:r>
      <w:r w:rsidR="000F3C6B" w:rsidRPr="002C5E3A">
        <w:t xml:space="preserve">for </w:t>
      </w:r>
      <w:r w:rsidR="002D596D" w:rsidRPr="002C5E3A">
        <w:t xml:space="preserve">multi-product </w:t>
      </w:r>
      <w:r w:rsidR="000F3C6B" w:rsidRPr="002C5E3A">
        <w:t>exporters than for exporters with a single product</w:t>
      </w:r>
      <w:r w:rsidRPr="002C5E3A">
        <w:t xml:space="preserve">. </w:t>
      </w:r>
      <w:r w:rsidR="00E23D4C">
        <w:t xml:space="preserve">Again, multi-product exporters may prefer to consolidate their position before entering into new markets. </w:t>
      </w:r>
      <w:r w:rsidRPr="002C5E3A">
        <w:t xml:space="preserve">In contrast, the number of markets </w:t>
      </w:r>
      <w:r w:rsidR="00302C70">
        <w:t xml:space="preserve">that </w:t>
      </w:r>
      <w:r w:rsidRPr="002C5E3A">
        <w:t>a firm served has a positive effect on the probability of entering a new m</w:t>
      </w:r>
      <w:r w:rsidR="006A3203" w:rsidRPr="002C5E3A">
        <w:t xml:space="preserve">arket. </w:t>
      </w:r>
      <w:r w:rsidR="00F80109">
        <w:t>Multi-market e</w:t>
      </w:r>
      <w:r w:rsidR="002C5E3A" w:rsidRPr="002C5E3A">
        <w:t xml:space="preserve">xporters </w:t>
      </w:r>
      <w:r w:rsidRPr="002C5E3A">
        <w:t>have</w:t>
      </w:r>
      <w:r w:rsidR="00066C15">
        <w:t xml:space="preserve"> </w:t>
      </w:r>
      <w:r w:rsidR="00677791" w:rsidRPr="002C5E3A">
        <w:t>acquired a</w:t>
      </w:r>
      <w:r w:rsidRPr="002C5E3A">
        <w:t xml:space="preserve"> </w:t>
      </w:r>
      <w:r w:rsidR="00677791" w:rsidRPr="002C5E3A">
        <w:t xml:space="preserve">significant </w:t>
      </w:r>
      <w:r w:rsidRPr="002C5E3A">
        <w:t>knowledge regarding customs procedures, transp</w:t>
      </w:r>
      <w:r w:rsidR="002D596D" w:rsidRPr="002C5E3A">
        <w:t>orts networks and c</w:t>
      </w:r>
      <w:r w:rsidR="00677791" w:rsidRPr="002C5E3A">
        <w:t xml:space="preserve">lients </w:t>
      </w:r>
      <w:r w:rsidR="00F80109">
        <w:t>needs</w:t>
      </w:r>
      <w:r w:rsidR="00066C15">
        <w:t xml:space="preserve">. They can better assess a market opportunity and probably are more willing to explore a new market </w:t>
      </w:r>
      <w:r w:rsidR="00677791" w:rsidRPr="002C5E3A">
        <w:t xml:space="preserve">than </w:t>
      </w:r>
      <w:r w:rsidR="006103D0" w:rsidRPr="002C5E3A">
        <w:t>export</w:t>
      </w:r>
      <w:r w:rsidR="00704097" w:rsidRPr="002C5E3A">
        <w:t xml:space="preserve">ers </w:t>
      </w:r>
      <w:r w:rsidR="00302C70">
        <w:t xml:space="preserve">that are focused only on </w:t>
      </w:r>
      <w:r w:rsidR="006103D0" w:rsidRPr="002C5E3A">
        <w:t>one destination.</w:t>
      </w:r>
    </w:p>
    <w:p w:rsidR="00193A9B" w:rsidRDefault="00193A9B" w:rsidP="00E314F0">
      <w:pPr>
        <w:keepNext w:val="0"/>
        <w:widowControl w:val="0"/>
      </w:pPr>
      <w:r w:rsidRPr="007F64E8">
        <w:lastRenderedPageBreak/>
        <w:t xml:space="preserve">As for the product characteristics, </w:t>
      </w:r>
      <w:r>
        <w:t>the existence of a</w:t>
      </w:r>
      <w:r w:rsidRPr="007F64E8">
        <w:t xml:space="preserve"> support program has a positive and statistically significant effect on the probability of exploring a new market. However, </w:t>
      </w:r>
      <w:r>
        <w:t>its</w:t>
      </w:r>
      <w:r w:rsidRPr="007F64E8">
        <w:t xml:space="preserve"> effect</w:t>
      </w:r>
      <w:r>
        <w:t xml:space="preserve"> disappears once we include </w:t>
      </w:r>
      <w:r w:rsidRPr="007F64E8">
        <w:t>the information variable and th</w:t>
      </w:r>
      <w:r>
        <w:t>e interaction terms. It is worth mentioning</w:t>
      </w:r>
      <w:r w:rsidRPr="007F64E8">
        <w:t xml:space="preserve"> that there is a </w:t>
      </w:r>
      <w:r w:rsidRPr="00817EE2">
        <w:t xml:space="preserve">potential </w:t>
      </w:r>
      <w:proofErr w:type="spellStart"/>
      <w:r w:rsidRPr="00817EE2">
        <w:t>endogeneity</w:t>
      </w:r>
      <w:proofErr w:type="spellEnd"/>
      <w:r w:rsidRPr="00817EE2">
        <w:t xml:space="preserve"> problem affecting the interpretation of this result. In other words we cannot establish the direction of the effect</w:t>
      </w:r>
      <w:r>
        <w:t>.</w:t>
      </w:r>
      <w:r w:rsidRPr="00817EE2">
        <w:t xml:space="preserve"> It could be that the observed export growth is a consequence of the support program, or that products selected to be supported were precisely those that were expanding.</w:t>
      </w:r>
    </w:p>
    <w:p w:rsidR="007F64E8" w:rsidRPr="007F64E8" w:rsidRDefault="007F64E8" w:rsidP="00E314F0">
      <w:pPr>
        <w:keepNext w:val="0"/>
        <w:widowControl w:val="0"/>
      </w:pPr>
      <w:r w:rsidRPr="007F64E8">
        <w:t xml:space="preserve">Finally the results suggest that information spillovers have a positive and statistically significant effect on the probability to serve a new market. </w:t>
      </w:r>
      <w:r w:rsidR="00BE5A19">
        <w:t xml:space="preserve">The fact that other Malian firms sell the same product abroad could push exporter </w:t>
      </w:r>
      <w:proofErr w:type="spellStart"/>
      <w:r w:rsidR="00BE5A19" w:rsidRPr="00BE5A19">
        <w:rPr>
          <w:i/>
        </w:rPr>
        <w:t>i</w:t>
      </w:r>
      <w:proofErr w:type="spellEnd"/>
      <w:r w:rsidR="00BE5A19">
        <w:t xml:space="preserve"> to find new market opportunities. At the same time exporters could learn from their competitors about the prof</w:t>
      </w:r>
      <w:r w:rsidR="005F34AC">
        <w:t>itability of certain markets before</w:t>
      </w:r>
      <w:r w:rsidR="00BE5A19">
        <w:t xml:space="preserve"> </w:t>
      </w:r>
      <w:r w:rsidR="005F34AC">
        <w:t>deciding</w:t>
      </w:r>
      <w:r w:rsidR="00975DDC">
        <w:t xml:space="preserve"> </w:t>
      </w:r>
      <w:r w:rsidR="00BE5A19">
        <w:t xml:space="preserve">to explore these opportunities. </w:t>
      </w:r>
      <w:r w:rsidRPr="007F64E8">
        <w:t xml:space="preserve">As for the interaction terms, only the interaction between the product experience and the dummy for homogeneous goods is statistically significant and indicates that the effect of product experience on the probability of exporting to a new market is lower for firms exporting a homogeneous good. This is </w:t>
      </w:r>
      <w:r w:rsidR="005F34AC">
        <w:t>consistent with our predictions</w:t>
      </w:r>
      <w:r w:rsidRPr="007F64E8">
        <w:t xml:space="preserve"> that experience matters more in the case of differentiated goods.  </w:t>
      </w:r>
    </w:p>
    <w:p w:rsidR="00AA591E" w:rsidRPr="00881C6F" w:rsidRDefault="00B272D0" w:rsidP="00881C6F">
      <w:pPr>
        <w:keepNext w:val="0"/>
        <w:widowControl w:val="0"/>
        <w:spacing w:before="240"/>
      </w:pPr>
      <w:r>
        <w:t>Concluding, o</w:t>
      </w:r>
      <w:r w:rsidRPr="007F64E8">
        <w:t>ur analysis o</w:t>
      </w:r>
      <w:r>
        <w:t>f</w:t>
      </w:r>
      <w:r w:rsidRPr="007F64E8">
        <w:t xml:space="preserve"> the determinants of market diversification among Malian exporters reveals that exporters benefiting from previous product experience or selling a product promoted </w:t>
      </w:r>
      <w:r>
        <w:t>by the government or donors have</w:t>
      </w:r>
      <w:r w:rsidRPr="007F64E8">
        <w:t xml:space="preserve"> the</w:t>
      </w:r>
      <w:r>
        <w:t xml:space="preserve"> highest probability to enter </w:t>
      </w:r>
      <w:r w:rsidRPr="007F64E8">
        <w:t>a new market. T</w:t>
      </w:r>
      <w:r w:rsidR="00D47AC7" w:rsidRPr="007F64E8">
        <w:t>his again shows the importance of product know-h</w:t>
      </w:r>
      <w:r w:rsidR="00D47AC7">
        <w:t>ow, information on product standards, demand tastes,</w:t>
      </w:r>
      <w:r w:rsidR="00D47AC7" w:rsidRPr="007F64E8">
        <w:t xml:space="preserve"> and </w:t>
      </w:r>
      <w:r w:rsidR="00D47AC7">
        <w:t>overall</w:t>
      </w:r>
      <w:r w:rsidR="00D47AC7" w:rsidRPr="007F64E8">
        <w:t xml:space="preserve"> familiar</w:t>
      </w:r>
      <w:r w:rsidR="00D47AC7">
        <w:t>ity</w:t>
      </w:r>
      <w:r w:rsidR="00D47AC7" w:rsidRPr="007F64E8">
        <w:t xml:space="preserve"> with the export activity. </w:t>
      </w:r>
      <w:r w:rsidR="00D47AC7">
        <w:t>With respect</w:t>
      </w:r>
      <w:r w:rsidR="00D47AC7" w:rsidRPr="007F64E8">
        <w:t xml:space="preserve"> </w:t>
      </w:r>
      <w:r w:rsidR="00D47AC7">
        <w:t>to</w:t>
      </w:r>
      <w:r w:rsidR="00D47AC7" w:rsidRPr="007F64E8">
        <w:t xml:space="preserve"> the effect </w:t>
      </w:r>
      <w:r w:rsidR="00D47AC7">
        <w:t>of</w:t>
      </w:r>
      <w:r w:rsidR="00D47AC7" w:rsidRPr="007F64E8">
        <w:t xml:space="preserve"> </w:t>
      </w:r>
      <w:r w:rsidR="00D47AC7">
        <w:t xml:space="preserve">the support program on promoting market diversification while we find a positive association, we cannot </w:t>
      </w:r>
      <w:r w:rsidR="00D47AC7" w:rsidRPr="007F64E8">
        <w:t>establish whether the probability of entering a new market is larger because of the success of the support program or because the product in question was</w:t>
      </w:r>
      <w:r w:rsidR="00D47AC7">
        <w:t xml:space="preserve"> selected </w:t>
      </w:r>
      <w:r w:rsidR="00B56E37">
        <w:t xml:space="preserve">on account of its performance (i.e. </w:t>
      </w:r>
      <w:r w:rsidR="00D47AC7" w:rsidRPr="007F64E8">
        <w:t>geographical expansion</w:t>
      </w:r>
      <w:r w:rsidR="00B56E37">
        <w:t>)</w:t>
      </w:r>
      <w:r w:rsidR="00D47AC7" w:rsidRPr="007F64E8">
        <w:t>.</w:t>
      </w:r>
      <w:r w:rsidR="00D47AC7">
        <w:t xml:space="preserve"> Furthermore,</w:t>
      </w:r>
      <w:r w:rsidR="00D47AC7" w:rsidRPr="007F64E8">
        <w:t xml:space="preserve"> th</w:t>
      </w:r>
      <w:r w:rsidR="00D47AC7">
        <w:t>is</w:t>
      </w:r>
      <w:r w:rsidR="00D47AC7" w:rsidRPr="007F64E8">
        <w:t xml:space="preserve"> effect</w:t>
      </w:r>
      <w:r w:rsidR="00D47AC7">
        <w:t xml:space="preserve"> vanishes when we control for </w:t>
      </w:r>
      <w:r w:rsidR="00D47AC7" w:rsidRPr="007F64E8">
        <w:t>the information variable and th</w:t>
      </w:r>
      <w:r w:rsidR="00D47AC7">
        <w:t xml:space="preserve">e interaction terms.           </w:t>
      </w:r>
      <w:r>
        <w:t xml:space="preserve"> </w:t>
      </w:r>
      <w:r w:rsidR="00EE6DC6">
        <w:t xml:space="preserve">     </w:t>
      </w:r>
      <w:r w:rsidR="00BA2FCA">
        <w:t xml:space="preserve"> </w:t>
      </w:r>
    </w:p>
    <w:p w:rsidR="00EE6DC6" w:rsidRDefault="00EE6DC6" w:rsidP="00E314F0">
      <w:pPr>
        <w:pStyle w:val="Style2"/>
        <w:keepNext w:val="0"/>
        <w:keepLines w:val="0"/>
        <w:widowControl w:val="0"/>
      </w:pPr>
      <w:bookmarkStart w:id="39" w:name="_Toc281515415"/>
      <w:bookmarkStart w:id="40" w:name="_Toc303332503"/>
      <w:bookmarkStart w:id="41" w:name="_Toc305445918"/>
      <w:r w:rsidRPr="001E5A1C">
        <w:t>Survival</w:t>
      </w:r>
      <w:bookmarkEnd w:id="39"/>
      <w:bookmarkEnd w:id="40"/>
      <w:bookmarkEnd w:id="41"/>
    </w:p>
    <w:p w:rsidR="008A7F61" w:rsidRDefault="008A7F61" w:rsidP="00E314F0">
      <w:pPr>
        <w:keepNext w:val="0"/>
        <w:widowControl w:val="0"/>
        <w:autoSpaceDE w:val="0"/>
        <w:autoSpaceDN w:val="0"/>
        <w:adjustRightInd w:val="0"/>
      </w:pPr>
      <w:r w:rsidRPr="00655771">
        <w:t xml:space="preserve">Studies at the product and firm level (see for instance </w:t>
      </w:r>
      <w:proofErr w:type="spellStart"/>
      <w:r w:rsidRPr="00655771">
        <w:t>Besedes</w:t>
      </w:r>
      <w:proofErr w:type="spellEnd"/>
      <w:r w:rsidRPr="00655771">
        <w:t xml:space="preserve"> and </w:t>
      </w:r>
      <w:proofErr w:type="spellStart"/>
      <w:r w:rsidRPr="00655771">
        <w:t>Prusa</w:t>
      </w:r>
      <w:proofErr w:type="spellEnd"/>
      <w:r w:rsidRPr="00655771">
        <w:t xml:space="preserve">, 2006 and </w:t>
      </w:r>
      <w:proofErr w:type="spellStart"/>
      <w:r w:rsidRPr="00655771">
        <w:t>Cadot</w:t>
      </w:r>
      <w:proofErr w:type="spellEnd"/>
      <w:r w:rsidRPr="00655771">
        <w:t xml:space="preserve"> et al., 2010) have shown that export survival is especially low in developing countries</w:t>
      </w:r>
      <w:r w:rsidR="00FE37CA">
        <w:t>,</w:t>
      </w:r>
      <w:r w:rsidR="00693C55">
        <w:t xml:space="preserve"> </w:t>
      </w:r>
      <w:r w:rsidR="00FE37CA">
        <w:t>and can be</w:t>
      </w:r>
      <w:r w:rsidRPr="00655771">
        <w:t xml:space="preserve"> a key constraint to overall exports growth and diversification. Malian exporters are no exception. Half of new exporters exit the market after one year and 21% exit after two years, indicating that survival beyond the first years is difficult. Given the short time coverage of our dataset and the importance of survival for new exporters, we focus on the impact of potential factors affecting the survival of exporters at the beginning of their activity. More specifically, we estimate the effect of firm, product and market characteristics on the probability of new exporters to survive more than one year. This probability is given by:</w:t>
      </w:r>
    </w:p>
    <w:p w:rsidR="00EE6DC6" w:rsidRPr="00D55998" w:rsidRDefault="00EE6DC6" w:rsidP="00E314F0">
      <w:pPr>
        <w:keepNext w:val="0"/>
        <w:widowControl w:val="0"/>
        <w:autoSpaceDE w:val="0"/>
        <w:autoSpaceDN w:val="0"/>
        <w:adjustRightInd w:val="0"/>
        <w:spacing w:after="0"/>
        <w:rPr>
          <w:rFonts w:eastAsiaTheme="minorEastAsia"/>
        </w:rPr>
      </w:pPr>
      <m:oMathPara>
        <m:oMath>
          <m:r>
            <m:rPr>
              <m:sty m:val="p"/>
            </m:rPr>
            <w:rPr>
              <w:rFonts w:ascii="Cambria Math" w:hAnsi="Cambria Math"/>
            </w:rPr>
            <m:t>P</m:t>
          </m:r>
          <m:d>
            <m:dPr>
              <m:ctrlPr>
                <w:rPr>
                  <w:rFonts w:ascii="Cambria Math" w:hAnsi="Cambria Math"/>
                </w:rPr>
              </m:ctrlPr>
            </m:dPr>
            <m:e>
              <m:r>
                <w:rPr>
                  <w:rFonts w:ascii="Cambria Math" w:hAnsi="Cambria Math"/>
                </w:rPr>
                <m:t>s</m:t>
              </m:r>
              <m:sSub>
                <m:sSubPr>
                  <m:ctrlPr>
                    <w:rPr>
                      <w:rFonts w:ascii="Cambria Math" w:hAnsi="Cambria Math"/>
                      <w:i/>
                    </w:rPr>
                  </m:ctrlPr>
                </m:sSubPr>
                <m:e>
                  <m:r>
                    <w:rPr>
                      <w:rFonts w:ascii="Cambria Math" w:hAnsi="Cambria Math"/>
                    </w:rPr>
                    <m:t>urvival</m:t>
                  </m:r>
                </m:e>
                <m:sub>
                  <m:r>
                    <w:rPr>
                      <w:rFonts w:ascii="Cambria Math" w:hAnsi="Cambria Math"/>
                    </w:rPr>
                    <m:t>ipjt</m:t>
                  </m:r>
                </m:sub>
              </m:sSub>
              <m:r>
                <w:rPr>
                  <w:rFonts w:ascii="Cambria Math" w:hAnsi="Cambria Math"/>
                </w:rPr>
                <m:t>=1</m:t>
              </m:r>
            </m:e>
          </m:d>
          <m:r>
            <w:rPr>
              <w:rFonts w:ascii="Cambria Math" w:hAnsi="Cambria Math"/>
            </w:rPr>
            <m:t>=</m:t>
          </m:r>
          <m:sSub>
            <m:sSubPr>
              <m:ctrlPr>
                <w:rPr>
                  <w:rFonts w:ascii="Cambria Math" w:hAnsi="Cambria Math"/>
                  <w:szCs w:val="22"/>
                </w:rPr>
              </m:ctrlPr>
            </m:sSubPr>
            <m:e>
              <m:sSub>
                <m:sSubPr>
                  <m:ctrlPr>
                    <w:rPr>
                      <w:rFonts w:ascii="Cambria Math" w:hAnsi="Cambria Math"/>
                      <w:szCs w:val="22"/>
                    </w:rPr>
                  </m:ctrlPr>
                </m:sSubPr>
                <m:e>
                  <m:r>
                    <w:rPr>
                      <w:rFonts w:ascii="Cambria Math" w:hAnsi="Cambria Math"/>
                      <w:szCs w:val="22"/>
                    </w:rPr>
                    <m:t>β</m:t>
                  </m:r>
                </m:e>
                <m:sub>
                  <m:r>
                    <m:rPr>
                      <m:sty m:val="p"/>
                    </m:rPr>
                    <w:rPr>
                      <w:rFonts w:ascii="Cambria Math" w:hAnsi="Cambria Math"/>
                      <w:szCs w:val="22"/>
                    </w:rPr>
                    <m:t>1</m:t>
                  </m:r>
                </m:sub>
              </m:sSub>
              <m:sSub>
                <m:sSubPr>
                  <m:ctrlPr>
                    <w:rPr>
                      <w:rFonts w:ascii="Cambria Math" w:hAnsi="Cambria Math"/>
                      <w:szCs w:val="22"/>
                    </w:rPr>
                  </m:ctrlPr>
                </m:sSubPr>
                <m:e>
                  <m:r>
                    <w:rPr>
                      <w:rFonts w:ascii="Cambria Math" w:hAnsi="Cambria Math"/>
                      <w:szCs w:val="22"/>
                    </w:rPr>
                    <m:t>FirmCs</m:t>
                  </m:r>
                </m:e>
                <m:sub>
                  <m:r>
                    <w:rPr>
                      <w:rFonts w:ascii="Cambria Math" w:hAnsi="Cambria Math"/>
                      <w:szCs w:val="22"/>
                    </w:rPr>
                    <m:t>it</m:t>
                  </m:r>
                </m:sub>
              </m:sSub>
              <m:r>
                <m:rPr>
                  <m:sty m:val="p"/>
                </m:rPr>
                <w:rPr>
                  <w:rFonts w:ascii="Cambria Math" w:hAnsi="Cambria Math"/>
                  <w:szCs w:val="22"/>
                </w:rPr>
                <m:t>+</m:t>
              </m:r>
              <m:r>
                <w:rPr>
                  <w:rFonts w:ascii="Cambria Math" w:hAnsi="Cambria Math"/>
                  <w:szCs w:val="22"/>
                </w:rPr>
                <m:t>β</m:t>
              </m:r>
            </m:e>
            <m:sub>
              <m:r>
                <m:rPr>
                  <m:sty m:val="p"/>
                </m:rPr>
                <w:rPr>
                  <w:rFonts w:ascii="Cambria Math" w:hAnsi="Cambria Math"/>
                  <w:szCs w:val="22"/>
                </w:rPr>
                <m:t>2</m:t>
              </m:r>
            </m:sub>
          </m:sSub>
          <m:sSub>
            <m:sSubPr>
              <m:ctrlPr>
                <w:rPr>
                  <w:rFonts w:ascii="Cambria Math" w:hAnsi="Cambria Math"/>
                  <w:szCs w:val="22"/>
                </w:rPr>
              </m:ctrlPr>
            </m:sSubPr>
            <m:e>
              <m:r>
                <w:rPr>
                  <w:rFonts w:ascii="Cambria Math" w:hAnsi="Cambria Math"/>
                  <w:szCs w:val="22"/>
                </w:rPr>
                <m:t>ProductCs</m:t>
              </m:r>
            </m:e>
            <m:sub>
              <m:r>
                <w:rPr>
                  <w:rFonts w:ascii="Cambria Math" w:hAnsi="Cambria Math"/>
                  <w:szCs w:val="22"/>
                </w:rPr>
                <m:t>pt</m:t>
              </m:r>
            </m:sub>
          </m:sSub>
          <m:r>
            <m:rPr>
              <m:sty m:val="p"/>
            </m:rPr>
            <w:rPr>
              <w:rFonts w:ascii="Cambria Math" w:hAnsi="Cambria Math"/>
              <w:szCs w:val="22"/>
            </w:rPr>
            <m:t>+</m:t>
          </m:r>
          <m:sSub>
            <m:sSubPr>
              <m:ctrlPr>
                <w:rPr>
                  <w:rFonts w:ascii="Cambria Math" w:hAnsi="Cambria Math"/>
                  <w:szCs w:val="22"/>
                </w:rPr>
              </m:ctrlPr>
            </m:sSubPr>
            <m:e>
              <m:r>
                <w:rPr>
                  <w:rFonts w:ascii="Cambria Math" w:hAnsi="Cambria Math"/>
                  <w:szCs w:val="22"/>
                </w:rPr>
                <m:t>β</m:t>
              </m:r>
            </m:e>
            <m:sub>
              <m:r>
                <m:rPr>
                  <m:sty m:val="p"/>
                </m:rPr>
                <w:rPr>
                  <w:rFonts w:ascii="Cambria Math" w:hAnsi="Cambria Math"/>
                  <w:szCs w:val="22"/>
                </w:rPr>
                <m:t>3</m:t>
              </m:r>
            </m:sub>
          </m:sSub>
          <m:sSub>
            <m:sSubPr>
              <m:ctrlPr>
                <w:rPr>
                  <w:rFonts w:ascii="Cambria Math" w:hAnsi="Cambria Math"/>
                  <w:szCs w:val="22"/>
                </w:rPr>
              </m:ctrlPr>
            </m:sSubPr>
            <m:e>
              <m:r>
                <w:rPr>
                  <w:rFonts w:ascii="Cambria Math" w:hAnsi="Cambria Math"/>
                  <w:szCs w:val="22"/>
                </w:rPr>
                <m:t>MarketCs</m:t>
              </m:r>
            </m:e>
            <m:sub>
              <m:r>
                <w:rPr>
                  <w:rFonts w:ascii="Cambria Math" w:hAnsi="Cambria Math"/>
                  <w:szCs w:val="22"/>
                </w:rPr>
                <m:t>jt</m:t>
              </m:r>
            </m:sub>
          </m:sSub>
          <m:r>
            <m:rPr>
              <m:sty m:val="p"/>
            </m:rPr>
            <w:rPr>
              <w:rFonts w:ascii="Cambria Math" w:hAnsi="Cambria Math"/>
              <w:szCs w:val="22"/>
            </w:rPr>
            <m:t xml:space="preserve">+ </m:t>
          </m:r>
          <m:sSub>
            <m:sSubPr>
              <m:ctrlPr>
                <w:rPr>
                  <w:rFonts w:ascii="Cambria Math" w:hAnsi="Cambria Math"/>
                  <w:szCs w:val="22"/>
                </w:rPr>
              </m:ctrlPr>
            </m:sSubPr>
            <m:e>
              <m:r>
                <w:rPr>
                  <w:rFonts w:ascii="Cambria Math" w:hAnsi="Cambria Math"/>
                  <w:szCs w:val="22"/>
                </w:rPr>
                <m:t>β</m:t>
              </m:r>
            </m:e>
            <m:sub>
              <m:r>
                <m:rPr>
                  <m:sty m:val="p"/>
                </m:rPr>
                <w:rPr>
                  <w:rFonts w:ascii="Cambria Math" w:hAnsi="Cambria Math"/>
                  <w:szCs w:val="22"/>
                </w:rPr>
                <m:t>4</m:t>
              </m:r>
            </m:sub>
          </m:sSub>
          <m:sSub>
            <m:sSubPr>
              <m:ctrlPr>
                <w:rPr>
                  <w:rFonts w:ascii="Cambria Math" w:hAnsi="Cambria Math"/>
                  <w:szCs w:val="22"/>
                </w:rPr>
              </m:ctrlPr>
            </m:sSubPr>
            <m:e>
              <m:r>
                <w:rPr>
                  <w:rFonts w:ascii="Cambria Math" w:hAnsi="Cambria Math"/>
                  <w:szCs w:val="22"/>
                </w:rPr>
                <m:t>Controls</m:t>
              </m:r>
            </m:e>
            <m:sub>
              <m:r>
                <w:rPr>
                  <w:rFonts w:ascii="Cambria Math" w:hAnsi="Cambria Math"/>
                  <w:szCs w:val="22"/>
                </w:rPr>
                <m:t>pjt</m:t>
              </m:r>
            </m:sub>
          </m:sSub>
          <m:r>
            <m:rPr>
              <m:sty m:val="p"/>
            </m:rPr>
            <w:rPr>
              <w:rFonts w:ascii="Cambria Math" w:hAnsi="Cambria Math"/>
              <w:szCs w:val="22"/>
            </w:rPr>
            <m:t>+</m:t>
          </m:r>
          <m:sSub>
            <m:sSubPr>
              <m:ctrlPr>
                <w:rPr>
                  <w:rFonts w:ascii="Cambria Math" w:hAnsi="Cambria Math"/>
                  <w:szCs w:val="22"/>
                </w:rPr>
              </m:ctrlPr>
            </m:sSubPr>
            <m:e>
              <m:r>
                <w:rPr>
                  <w:rFonts w:ascii="Cambria Math" w:hAnsi="Cambria Math"/>
                  <w:szCs w:val="22"/>
                </w:rPr>
                <m:t>ϵ</m:t>
              </m:r>
            </m:e>
            <m:sub>
              <m:r>
                <w:rPr>
                  <w:rFonts w:ascii="Cambria Math" w:hAnsi="Cambria Math"/>
                  <w:szCs w:val="22"/>
                </w:rPr>
                <m:t>ijpt</m:t>
              </m:r>
            </m:sub>
          </m:sSub>
          <m:r>
            <m:rPr>
              <m:sty m:val="p"/>
            </m:rPr>
            <w:rPr>
              <w:rFonts w:ascii="Cambria Math" w:hAnsi="Cambria Math"/>
            </w:rPr>
            <m:t xml:space="preserve"> </m:t>
          </m:r>
        </m:oMath>
      </m:oMathPara>
    </w:p>
    <w:p w:rsidR="00EE6DC6" w:rsidRDefault="00EE6DC6" w:rsidP="00E314F0">
      <w:pPr>
        <w:keepNext w:val="0"/>
        <w:widowControl w:val="0"/>
        <w:autoSpaceDE w:val="0"/>
        <w:autoSpaceDN w:val="0"/>
        <w:adjustRightInd w:val="0"/>
        <w:spacing w:after="0"/>
      </w:pPr>
    </w:p>
    <w:p w:rsidR="003D5C9E" w:rsidRDefault="00EE6DC6" w:rsidP="00E314F0">
      <w:pPr>
        <w:keepNext w:val="0"/>
        <w:widowControl w:val="0"/>
        <w:autoSpaceDE w:val="0"/>
        <w:autoSpaceDN w:val="0"/>
        <w:adjustRightInd w:val="0"/>
      </w:pPr>
      <w:r>
        <w:t xml:space="preserve"> </w:t>
      </w:r>
      <w:r w:rsidR="008A7F61" w:rsidRPr="00655771">
        <w:t>Where the dependent variable equals 1 if firm</w:t>
      </w:r>
      <w:r w:rsidR="008A7F61" w:rsidRPr="00655771">
        <w:rPr>
          <w:i/>
        </w:rPr>
        <w:t xml:space="preserve"> </w:t>
      </w:r>
      <w:proofErr w:type="spellStart"/>
      <w:r w:rsidR="008A7F61" w:rsidRPr="00655771">
        <w:rPr>
          <w:i/>
        </w:rPr>
        <w:t>i</w:t>
      </w:r>
      <w:proofErr w:type="spellEnd"/>
      <w:r w:rsidR="008A7F61" w:rsidRPr="00655771">
        <w:t xml:space="preserve"> exported product </w:t>
      </w:r>
      <w:r w:rsidR="008A7F61" w:rsidRPr="00655771">
        <w:rPr>
          <w:i/>
        </w:rPr>
        <w:t>p</w:t>
      </w:r>
      <w:r w:rsidR="008A7F61" w:rsidRPr="00655771">
        <w:t xml:space="preserve"> to market </w:t>
      </w:r>
      <w:r w:rsidR="008A7F61" w:rsidRPr="00655771">
        <w:rPr>
          <w:i/>
        </w:rPr>
        <w:t>j</w:t>
      </w:r>
      <w:r w:rsidR="008A7F61" w:rsidRPr="00655771">
        <w:t xml:space="preserve"> in</w:t>
      </w:r>
      <w:r w:rsidR="008A7F61" w:rsidRPr="00655771">
        <w:rPr>
          <w:i/>
        </w:rPr>
        <w:t xml:space="preserve"> t</w:t>
      </w:r>
      <w:r w:rsidR="008A7F61" w:rsidRPr="00655771">
        <w:t xml:space="preserve"> for the second time </w:t>
      </w:r>
      <w:r w:rsidR="008A7F61" w:rsidRPr="00655771">
        <w:rPr>
          <w:sz w:val="20"/>
          <w:szCs w:val="20"/>
        </w:rPr>
        <w:t>(</w:t>
      </w:r>
      <m:oMath>
        <m:sSub>
          <m:sSubPr>
            <m:ctrlPr>
              <w:rPr>
                <w:rFonts w:ascii="Cambria Math" w:hAnsi="Cambria Math"/>
                <w:sz w:val="20"/>
                <w:szCs w:val="20"/>
              </w:rPr>
            </m:ctrlPr>
          </m:sSubPr>
          <m:e>
            <m:r>
              <w:rPr>
                <w:rFonts w:ascii="Cambria Math" w:hAnsi="Cambria Math"/>
                <w:sz w:val="20"/>
                <w:szCs w:val="20"/>
              </w:rPr>
              <m:t>i.e.  exports</m:t>
            </m:r>
          </m:e>
          <m:sub>
            <m:r>
              <w:rPr>
                <w:rFonts w:ascii="Cambria Math" w:hAnsi="Cambria Math"/>
                <w:sz w:val="20"/>
                <w:szCs w:val="20"/>
              </w:rPr>
              <m:t>ipjt</m:t>
            </m:r>
          </m:sub>
        </m:sSub>
        <m:r>
          <m:rPr>
            <m:sty m:val="p"/>
          </m:rPr>
          <w:rPr>
            <w:rFonts w:ascii="Cambria Math" w:hAnsi="Cambria Math"/>
            <w:sz w:val="20"/>
            <w:szCs w:val="20"/>
          </w:rPr>
          <m:t>=</m:t>
        </m:r>
        <m:r>
          <w:rPr>
            <w:rFonts w:ascii="Cambria Math" w:hAnsi="Cambria Math"/>
            <w:sz w:val="20"/>
            <w:szCs w:val="20"/>
          </w:rPr>
          <m:t xml:space="preserve">1, </m:t>
        </m:r>
        <m:sSub>
          <m:sSubPr>
            <m:ctrlPr>
              <w:rPr>
                <w:rFonts w:ascii="Cambria Math" w:hAnsi="Cambria Math"/>
                <w:sz w:val="20"/>
                <w:szCs w:val="20"/>
              </w:rPr>
            </m:ctrlPr>
          </m:sSubPr>
          <m:e>
            <m:r>
              <w:rPr>
                <w:rFonts w:ascii="Cambria Math" w:hAnsi="Cambria Math"/>
                <w:sz w:val="20"/>
                <w:szCs w:val="20"/>
              </w:rPr>
              <m:t xml:space="preserve"> exports</m:t>
            </m:r>
          </m:e>
          <m:sub>
            <m:r>
              <w:rPr>
                <w:rFonts w:ascii="Cambria Math" w:hAnsi="Cambria Math"/>
                <w:sz w:val="20"/>
                <w:szCs w:val="20"/>
              </w:rPr>
              <m:t>ipjt-1</m:t>
            </m:r>
          </m:sub>
        </m:sSub>
        <m:r>
          <m:rPr>
            <m:sty m:val="p"/>
          </m:rPr>
          <w:rPr>
            <w:rFonts w:ascii="Cambria Math" w:hAnsi="Cambria Math"/>
            <w:sz w:val="20"/>
            <w:szCs w:val="20"/>
          </w:rPr>
          <m:t>=</m:t>
        </m:r>
        <m:r>
          <w:rPr>
            <w:rFonts w:ascii="Cambria Math" w:hAnsi="Cambria Math"/>
            <w:sz w:val="20"/>
            <w:szCs w:val="20"/>
          </w:rPr>
          <m:t>1 and</m:t>
        </m:r>
        <m:r>
          <m:rPr>
            <m:sty m:val="p"/>
          </m:rPr>
          <w:rPr>
            <w:rFonts w:ascii="Cambria Math" w:hAnsi="Cambria Math"/>
            <w:sz w:val="20"/>
            <w:szCs w:val="20"/>
          </w:rPr>
          <m:t xml:space="preserve"> </m:t>
        </m:r>
        <m:sSub>
          <m:sSubPr>
            <m:ctrlPr>
              <w:rPr>
                <w:rFonts w:ascii="Cambria Math" w:hAnsi="Cambria Math"/>
                <w:sz w:val="20"/>
                <w:szCs w:val="20"/>
              </w:rPr>
            </m:ctrlPr>
          </m:sSubPr>
          <m:e>
            <m:r>
              <w:rPr>
                <w:rFonts w:ascii="Cambria Math" w:hAnsi="Cambria Math"/>
                <w:sz w:val="20"/>
                <w:szCs w:val="20"/>
              </w:rPr>
              <m:t xml:space="preserve"> exports</m:t>
            </m:r>
          </m:e>
          <m:sub>
            <m:r>
              <w:rPr>
                <w:rFonts w:ascii="Cambria Math" w:hAnsi="Cambria Math"/>
                <w:sz w:val="20"/>
                <w:szCs w:val="20"/>
              </w:rPr>
              <m:t>ipjt-2</m:t>
            </m:r>
          </m:sub>
        </m:sSub>
        <m:r>
          <m:rPr>
            <m:sty m:val="p"/>
          </m:rPr>
          <w:rPr>
            <w:rFonts w:ascii="Cambria Math" w:hAnsi="Cambria Math"/>
            <w:sz w:val="20"/>
            <w:szCs w:val="20"/>
          </w:rPr>
          <m:t>=0</m:t>
        </m:r>
      </m:oMath>
      <w:r w:rsidR="008A7F61" w:rsidRPr="00655771">
        <w:rPr>
          <w:rFonts w:eastAsiaTheme="minorEastAsia"/>
          <w:sz w:val="20"/>
          <w:szCs w:val="20"/>
        </w:rPr>
        <w:t>)</w:t>
      </w:r>
      <w:r w:rsidR="008A7F61" w:rsidRPr="00655771">
        <w:rPr>
          <w:sz w:val="20"/>
          <w:szCs w:val="20"/>
        </w:rPr>
        <w:t>,</w:t>
      </w:r>
      <w:r w:rsidR="008A7F61" w:rsidRPr="00655771">
        <w:t xml:space="preserve"> and zero otherwise. </w:t>
      </w:r>
      <w:r w:rsidR="008A7F61" w:rsidRPr="00655771">
        <w:rPr>
          <w:rStyle w:val="Appelnotedebasdep"/>
          <w:vertAlign w:val="baseline"/>
        </w:rPr>
        <w:t>To account for</w:t>
      </w:r>
      <w:r w:rsidR="008A7F61" w:rsidRPr="00655771">
        <w:t xml:space="preserve"> exporter</w:t>
      </w:r>
      <w:r w:rsidR="008A7F61" w:rsidRPr="00655771">
        <w:rPr>
          <w:rStyle w:val="Appelnotedebasdep"/>
          <w:vertAlign w:val="baseline"/>
        </w:rPr>
        <w:t xml:space="preserve">, product and market </w:t>
      </w:r>
      <w:r w:rsidR="008A7F61" w:rsidRPr="00655771">
        <w:t>characteristics</w:t>
      </w:r>
      <w:r w:rsidR="008A7F61" w:rsidRPr="00655771">
        <w:rPr>
          <w:rStyle w:val="Appelnotedebasdep"/>
          <w:vertAlign w:val="baseline"/>
        </w:rPr>
        <w:t xml:space="preserve"> we include the same variables as in the previous sections</w:t>
      </w:r>
      <w:r w:rsidR="008A7F61" w:rsidRPr="00655771">
        <w:t xml:space="preserve">. The baseline results are presented in column 1 and 2 of </w:t>
      </w:r>
      <w:fldSimple w:instr=" REF _Ref282184187 \h  \* MERGEFORMAT ">
        <w:r w:rsidR="000610DD" w:rsidRPr="00436791">
          <w:t xml:space="preserve">Table </w:t>
        </w:r>
        <w:r w:rsidR="000610DD">
          <w:t>4</w:t>
        </w:r>
      </w:fldSimple>
      <w:r w:rsidR="008A7F61" w:rsidRPr="00655771">
        <w:t xml:space="preserve">. </w:t>
      </w:r>
      <w:r w:rsidR="005B5B53" w:rsidRPr="00655771">
        <w:t xml:space="preserve">In column 3 we control for </w:t>
      </w:r>
      <w:r w:rsidR="005B5B53" w:rsidRPr="00655771">
        <w:rPr>
          <w:rFonts w:eastAsia="SimSun"/>
        </w:rPr>
        <w:t>information spillovers by including the number of Malian exporters selling the same product</w:t>
      </w:r>
      <w:r w:rsidR="005B5B53" w:rsidRPr="00655771">
        <w:rPr>
          <w:rFonts w:eastAsia="SimSun"/>
          <w:i/>
        </w:rPr>
        <w:t xml:space="preserve"> p</w:t>
      </w:r>
      <w:r w:rsidR="005B5B53" w:rsidRPr="00655771">
        <w:rPr>
          <w:rFonts w:eastAsia="SimSun"/>
        </w:rPr>
        <w:t xml:space="preserve"> to market </w:t>
      </w:r>
      <w:r w:rsidR="005B5B53" w:rsidRPr="00655771">
        <w:rPr>
          <w:rFonts w:eastAsia="SimSun"/>
          <w:i/>
        </w:rPr>
        <w:t xml:space="preserve">j </w:t>
      </w:r>
      <w:r w:rsidR="005B5B53" w:rsidRPr="00655771">
        <w:rPr>
          <w:rFonts w:eastAsia="SimSun"/>
        </w:rPr>
        <w:t xml:space="preserve">in addition to the two information variables used in previous sections. Finally, we add three interaction terms: </w:t>
      </w:r>
      <w:r w:rsidR="005B5B53" w:rsidRPr="00655771">
        <w:t xml:space="preserve">one to assess whether the effect of the support program varies with the exporter size, </w:t>
      </w:r>
      <w:r w:rsidR="00D058E3" w:rsidRPr="00655771">
        <w:lastRenderedPageBreak/>
        <w:t>one to evaluate the joint effect of exporter size and distance</w:t>
      </w:r>
      <w:r w:rsidR="00D058E3">
        <w:t xml:space="preserve">, and </w:t>
      </w:r>
      <w:r w:rsidR="005B5B53" w:rsidRPr="00655771">
        <w:t>another one to evaluate whether the effect of product experience vari</w:t>
      </w:r>
      <w:r w:rsidR="00D058E3">
        <w:t>es with the type of product</w:t>
      </w:r>
      <w:r w:rsidR="008A7F61" w:rsidRPr="00655771">
        <w:t>.</w:t>
      </w:r>
    </w:p>
    <w:p w:rsidR="00A66D15" w:rsidRDefault="00EE6DC6" w:rsidP="00E314F0">
      <w:pPr>
        <w:keepNext w:val="0"/>
        <w:widowControl w:val="0"/>
        <w:spacing w:after="0"/>
      </w:pPr>
      <w:bookmarkStart w:id="42" w:name="_Ref282184187"/>
      <w:r w:rsidRPr="00436791">
        <w:t xml:space="preserve">Table </w:t>
      </w:r>
      <w:r w:rsidR="000522C4" w:rsidRPr="00436791">
        <w:fldChar w:fldCharType="begin"/>
      </w:r>
      <w:r w:rsidRPr="00436791">
        <w:instrText xml:space="preserve"> SEQ Table \* ARABIC </w:instrText>
      </w:r>
      <w:r w:rsidR="000522C4" w:rsidRPr="00436791">
        <w:fldChar w:fldCharType="separate"/>
      </w:r>
      <w:r w:rsidR="000610DD">
        <w:rPr>
          <w:noProof/>
        </w:rPr>
        <w:t>4</w:t>
      </w:r>
      <w:r w:rsidR="000522C4" w:rsidRPr="00436791">
        <w:fldChar w:fldCharType="end"/>
      </w:r>
      <w:bookmarkEnd w:id="42"/>
      <w:r w:rsidRPr="00436791">
        <w:t>:  Exporters survival (Linear Probability Model)</w:t>
      </w:r>
    </w:p>
    <w:tbl>
      <w:tblPr>
        <w:tblW w:w="8180" w:type="dxa"/>
        <w:jc w:val="center"/>
        <w:tblInd w:w="94" w:type="dxa"/>
        <w:tblLook w:val="0000"/>
      </w:tblPr>
      <w:tblGrid>
        <w:gridCol w:w="4460"/>
        <w:gridCol w:w="1240"/>
        <w:gridCol w:w="1240"/>
        <w:gridCol w:w="1240"/>
      </w:tblGrid>
      <w:tr w:rsidR="008D1CD3" w:rsidRPr="004D653A" w:rsidTr="00CD3376">
        <w:trPr>
          <w:trHeight w:val="300"/>
          <w:jc w:val="center"/>
        </w:trPr>
        <w:tc>
          <w:tcPr>
            <w:tcW w:w="446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left"/>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(1)</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(2)</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(3)</w:t>
            </w:r>
          </w:p>
        </w:tc>
      </w:tr>
      <w:tr w:rsidR="008D1CD3" w:rsidRPr="004D653A" w:rsidTr="00CD3376">
        <w:trPr>
          <w:trHeight w:val="300"/>
          <w:jc w:val="center"/>
        </w:trPr>
        <w:tc>
          <w:tcPr>
            <w:tcW w:w="4460" w:type="dxa"/>
            <w:tcBorders>
              <w:top w:val="nil"/>
              <w:left w:val="nil"/>
              <w:bottom w:val="single" w:sz="4" w:space="0" w:color="auto"/>
              <w:right w:val="nil"/>
            </w:tcBorders>
            <w:noWrap/>
            <w:vAlign w:val="bottom"/>
          </w:tcPr>
          <w:p w:rsidR="008D1CD3" w:rsidRPr="004D653A" w:rsidRDefault="008D1CD3" w:rsidP="00E314F0">
            <w:pPr>
              <w:keepNext w:val="0"/>
              <w:widowControl w:val="0"/>
              <w:spacing w:after="0" w:line="240" w:lineRule="auto"/>
              <w:jc w:val="left"/>
              <w:rPr>
                <w:rFonts w:ascii="Garamond" w:eastAsia="Times New Roman" w:hAnsi="Garamond" w:cs="Garamond"/>
                <w:lang w:eastAsia="zh-CN"/>
              </w:rPr>
            </w:pPr>
            <w:r w:rsidRPr="004D653A">
              <w:rPr>
                <w:rFonts w:ascii="Garamond" w:eastAsia="Times New Roman" w:hAnsi="Garamond" w:cs="Garamond"/>
                <w:lang w:eastAsia="zh-CN"/>
              </w:rPr>
              <w:t>variables</w:t>
            </w:r>
          </w:p>
        </w:tc>
        <w:tc>
          <w:tcPr>
            <w:tcW w:w="1240" w:type="dxa"/>
            <w:tcBorders>
              <w:top w:val="nil"/>
              <w:left w:val="nil"/>
              <w:bottom w:val="single" w:sz="4" w:space="0" w:color="auto"/>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survival</w:t>
            </w:r>
          </w:p>
        </w:tc>
        <w:tc>
          <w:tcPr>
            <w:tcW w:w="1240" w:type="dxa"/>
            <w:tcBorders>
              <w:top w:val="nil"/>
              <w:left w:val="nil"/>
              <w:bottom w:val="single" w:sz="4" w:space="0" w:color="auto"/>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survival</w:t>
            </w:r>
          </w:p>
        </w:tc>
        <w:tc>
          <w:tcPr>
            <w:tcW w:w="1240" w:type="dxa"/>
            <w:tcBorders>
              <w:top w:val="nil"/>
              <w:left w:val="nil"/>
              <w:bottom w:val="single" w:sz="4" w:space="0" w:color="auto"/>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survival</w:t>
            </w:r>
          </w:p>
        </w:tc>
      </w:tr>
      <w:tr w:rsidR="008D1CD3" w:rsidRPr="004D653A" w:rsidTr="00CD3376">
        <w:trPr>
          <w:trHeight w:val="300"/>
          <w:jc w:val="center"/>
        </w:trPr>
        <w:tc>
          <w:tcPr>
            <w:tcW w:w="446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left"/>
              <w:rPr>
                <w:rFonts w:ascii="Garamond" w:eastAsia="Times New Roman" w:hAnsi="Garamond" w:cs="Garamond"/>
                <w:lang w:eastAsia="zh-CN"/>
              </w:rPr>
            </w:pPr>
            <w:r w:rsidRPr="004D653A">
              <w:rPr>
                <w:rFonts w:ascii="Garamond" w:eastAsia="Times New Roman" w:hAnsi="Garamond" w:cs="Garamond"/>
                <w:lang w:eastAsia="zh-CN"/>
              </w:rPr>
              <w:t>market experience (t-1)</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0.013***</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0.012***</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0.012***</w:t>
            </w:r>
          </w:p>
        </w:tc>
      </w:tr>
      <w:tr w:rsidR="008D1CD3" w:rsidRPr="004D653A" w:rsidTr="00CD3376">
        <w:trPr>
          <w:trHeight w:val="300"/>
          <w:jc w:val="center"/>
        </w:trPr>
        <w:tc>
          <w:tcPr>
            <w:tcW w:w="446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left"/>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(0.002)</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(0.002)</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(0.002)</w:t>
            </w:r>
          </w:p>
        </w:tc>
      </w:tr>
      <w:tr w:rsidR="008D1CD3" w:rsidRPr="004D653A" w:rsidTr="00CD3376">
        <w:trPr>
          <w:trHeight w:val="300"/>
          <w:jc w:val="center"/>
        </w:trPr>
        <w:tc>
          <w:tcPr>
            <w:tcW w:w="446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left"/>
              <w:rPr>
                <w:rFonts w:ascii="Garamond" w:eastAsia="Times New Roman" w:hAnsi="Garamond" w:cs="Garamond"/>
                <w:lang w:eastAsia="zh-CN"/>
              </w:rPr>
            </w:pPr>
            <w:r w:rsidRPr="004D653A">
              <w:rPr>
                <w:rFonts w:ascii="Garamond" w:eastAsia="Times New Roman" w:hAnsi="Garamond" w:cs="Garamond"/>
                <w:lang w:eastAsia="zh-CN"/>
              </w:rPr>
              <w:t>product experience (t-1)</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0.015</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0.019</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0.014</w:t>
            </w:r>
          </w:p>
        </w:tc>
      </w:tr>
      <w:tr w:rsidR="008D1CD3" w:rsidRPr="004D653A" w:rsidTr="00CD3376">
        <w:trPr>
          <w:trHeight w:val="300"/>
          <w:jc w:val="center"/>
        </w:trPr>
        <w:tc>
          <w:tcPr>
            <w:tcW w:w="446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left"/>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(0.009)</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(0.013)</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(0.010)</w:t>
            </w:r>
          </w:p>
        </w:tc>
      </w:tr>
      <w:tr w:rsidR="008D1CD3" w:rsidRPr="004D653A" w:rsidTr="00CD3376">
        <w:trPr>
          <w:trHeight w:val="300"/>
          <w:jc w:val="center"/>
        </w:trPr>
        <w:tc>
          <w:tcPr>
            <w:tcW w:w="446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left"/>
              <w:rPr>
                <w:rFonts w:ascii="Garamond" w:eastAsia="Times New Roman" w:hAnsi="Garamond" w:cs="Garamond"/>
                <w:lang w:eastAsia="zh-CN"/>
              </w:rPr>
            </w:pPr>
            <w:r w:rsidRPr="004D653A">
              <w:rPr>
                <w:rFonts w:ascii="Garamond" w:eastAsia="Times New Roman" w:hAnsi="Garamond" w:cs="Garamond"/>
                <w:lang w:eastAsia="zh-CN"/>
              </w:rPr>
              <w:t>size(t-1), log</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-0.000**</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-0.000</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0.000</w:t>
            </w:r>
          </w:p>
        </w:tc>
      </w:tr>
      <w:tr w:rsidR="008D1CD3" w:rsidRPr="004D653A" w:rsidTr="00CD3376">
        <w:trPr>
          <w:trHeight w:val="300"/>
          <w:jc w:val="center"/>
        </w:trPr>
        <w:tc>
          <w:tcPr>
            <w:tcW w:w="446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left"/>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(0.000)</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(0.000)</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(0.000)</w:t>
            </w:r>
          </w:p>
        </w:tc>
      </w:tr>
      <w:tr w:rsidR="008D1CD3" w:rsidRPr="004D653A" w:rsidTr="00CD3376">
        <w:trPr>
          <w:trHeight w:val="300"/>
          <w:jc w:val="center"/>
        </w:trPr>
        <w:tc>
          <w:tcPr>
            <w:tcW w:w="446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left"/>
              <w:rPr>
                <w:rFonts w:ascii="Garamond" w:eastAsia="Times New Roman" w:hAnsi="Garamond" w:cs="Garamond"/>
                <w:lang w:eastAsia="zh-CN"/>
              </w:rPr>
            </w:pPr>
            <w:proofErr w:type="spellStart"/>
            <w:r w:rsidRPr="004D653A">
              <w:rPr>
                <w:rFonts w:ascii="Garamond" w:eastAsia="Times New Roman" w:hAnsi="Garamond" w:cs="Garamond"/>
                <w:lang w:eastAsia="zh-CN"/>
              </w:rPr>
              <w:t>Nber</w:t>
            </w:r>
            <w:proofErr w:type="spellEnd"/>
            <w:r w:rsidRPr="004D653A">
              <w:rPr>
                <w:rFonts w:ascii="Garamond" w:eastAsia="Times New Roman" w:hAnsi="Garamond" w:cs="Garamond"/>
                <w:lang w:eastAsia="zh-CN"/>
              </w:rPr>
              <w:t xml:space="preserve"> of exported products (t-1)</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-0.003</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-0.002</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-0.001</w:t>
            </w:r>
          </w:p>
        </w:tc>
      </w:tr>
      <w:tr w:rsidR="008D1CD3" w:rsidRPr="004D653A" w:rsidTr="00CD3376">
        <w:trPr>
          <w:trHeight w:val="300"/>
          <w:jc w:val="center"/>
        </w:trPr>
        <w:tc>
          <w:tcPr>
            <w:tcW w:w="446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left"/>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(0.002)</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(0.002)</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(0.001)</w:t>
            </w:r>
          </w:p>
        </w:tc>
      </w:tr>
      <w:tr w:rsidR="008D1CD3" w:rsidRPr="004D653A" w:rsidTr="00CD3376">
        <w:trPr>
          <w:trHeight w:val="300"/>
          <w:jc w:val="center"/>
        </w:trPr>
        <w:tc>
          <w:tcPr>
            <w:tcW w:w="446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left"/>
              <w:rPr>
                <w:rFonts w:ascii="Garamond" w:eastAsia="Times New Roman" w:hAnsi="Garamond" w:cs="Garamond"/>
                <w:lang w:eastAsia="zh-CN"/>
              </w:rPr>
            </w:pPr>
            <w:proofErr w:type="spellStart"/>
            <w:r w:rsidRPr="004D653A">
              <w:rPr>
                <w:rFonts w:ascii="Garamond" w:eastAsia="Times New Roman" w:hAnsi="Garamond" w:cs="Garamond"/>
                <w:lang w:eastAsia="zh-CN"/>
              </w:rPr>
              <w:t>Nber</w:t>
            </w:r>
            <w:proofErr w:type="spellEnd"/>
            <w:r w:rsidRPr="004D653A">
              <w:rPr>
                <w:rFonts w:ascii="Garamond" w:eastAsia="Times New Roman" w:hAnsi="Garamond" w:cs="Garamond"/>
                <w:lang w:eastAsia="zh-CN"/>
              </w:rPr>
              <w:t xml:space="preserve"> of export destinations (t-1)</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-0.003</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-0.003</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-0.003</w:t>
            </w:r>
          </w:p>
        </w:tc>
      </w:tr>
      <w:tr w:rsidR="008D1CD3" w:rsidRPr="004D653A" w:rsidTr="00CD3376">
        <w:trPr>
          <w:trHeight w:val="300"/>
          <w:jc w:val="center"/>
        </w:trPr>
        <w:tc>
          <w:tcPr>
            <w:tcW w:w="446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left"/>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(0.003)</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(0.003)</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(0.003)</w:t>
            </w:r>
          </w:p>
        </w:tc>
      </w:tr>
      <w:tr w:rsidR="008D1CD3" w:rsidRPr="004D653A" w:rsidTr="00CD3376">
        <w:trPr>
          <w:trHeight w:val="300"/>
          <w:jc w:val="center"/>
        </w:trPr>
        <w:tc>
          <w:tcPr>
            <w:tcW w:w="446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left"/>
              <w:rPr>
                <w:rFonts w:ascii="Garamond" w:eastAsia="Times New Roman" w:hAnsi="Garamond" w:cs="Garamond"/>
                <w:lang w:eastAsia="zh-CN"/>
              </w:rPr>
            </w:pPr>
            <w:r w:rsidRPr="004D653A">
              <w:rPr>
                <w:rFonts w:ascii="Garamond" w:eastAsia="Times New Roman" w:hAnsi="Garamond" w:cs="Garamond"/>
                <w:lang w:eastAsia="zh-CN"/>
              </w:rPr>
              <w:t>homogeneous good</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0.049</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-0.028</w:t>
            </w:r>
          </w:p>
        </w:tc>
      </w:tr>
      <w:tr w:rsidR="008D1CD3" w:rsidRPr="004D653A" w:rsidTr="00CD3376">
        <w:trPr>
          <w:trHeight w:val="300"/>
          <w:jc w:val="center"/>
        </w:trPr>
        <w:tc>
          <w:tcPr>
            <w:tcW w:w="446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left"/>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(0.079)</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(0.085)</w:t>
            </w:r>
          </w:p>
        </w:tc>
      </w:tr>
      <w:tr w:rsidR="008D1CD3" w:rsidRPr="004D653A" w:rsidTr="00CD3376">
        <w:trPr>
          <w:trHeight w:val="300"/>
          <w:jc w:val="center"/>
        </w:trPr>
        <w:tc>
          <w:tcPr>
            <w:tcW w:w="446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left"/>
              <w:rPr>
                <w:rFonts w:ascii="Garamond" w:eastAsia="Times New Roman" w:hAnsi="Garamond" w:cs="Garamond"/>
                <w:lang w:eastAsia="zh-CN"/>
              </w:rPr>
            </w:pPr>
            <w:r w:rsidRPr="004D653A">
              <w:rPr>
                <w:rFonts w:ascii="Garamond" w:eastAsia="Times New Roman" w:hAnsi="Garamond" w:cs="Garamond"/>
                <w:lang w:eastAsia="zh-CN"/>
              </w:rPr>
              <w:t>support program</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0.167***</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0.164**</w:t>
            </w:r>
          </w:p>
        </w:tc>
      </w:tr>
      <w:tr w:rsidR="008D1CD3" w:rsidRPr="004D653A" w:rsidTr="00CD3376">
        <w:trPr>
          <w:trHeight w:val="300"/>
          <w:jc w:val="center"/>
        </w:trPr>
        <w:tc>
          <w:tcPr>
            <w:tcW w:w="446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left"/>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(0.062)</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(0.081)</w:t>
            </w:r>
          </w:p>
        </w:tc>
      </w:tr>
      <w:tr w:rsidR="008D1CD3" w:rsidRPr="004D653A" w:rsidTr="00CD3376">
        <w:trPr>
          <w:trHeight w:val="300"/>
          <w:jc w:val="center"/>
        </w:trPr>
        <w:tc>
          <w:tcPr>
            <w:tcW w:w="446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left"/>
              <w:rPr>
                <w:rFonts w:ascii="Garamond" w:eastAsia="Times New Roman" w:hAnsi="Garamond" w:cs="Garamond"/>
                <w:lang w:eastAsia="zh-CN"/>
              </w:rPr>
            </w:pPr>
            <w:r w:rsidRPr="004D653A">
              <w:rPr>
                <w:rFonts w:ascii="Garamond" w:eastAsia="Times New Roman" w:hAnsi="Garamond" w:cs="Garamond"/>
                <w:lang w:eastAsia="zh-CN"/>
              </w:rPr>
              <w:t>demand growth</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-0.007</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-0.013</w:t>
            </w:r>
          </w:p>
        </w:tc>
      </w:tr>
      <w:tr w:rsidR="008D1CD3" w:rsidRPr="004D653A" w:rsidTr="00CD3376">
        <w:trPr>
          <w:trHeight w:val="300"/>
          <w:jc w:val="center"/>
        </w:trPr>
        <w:tc>
          <w:tcPr>
            <w:tcW w:w="446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left"/>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(0.029)</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(0.031)</w:t>
            </w:r>
          </w:p>
        </w:tc>
      </w:tr>
      <w:tr w:rsidR="008D1CD3" w:rsidRPr="004D653A" w:rsidTr="00CD3376">
        <w:trPr>
          <w:trHeight w:val="300"/>
          <w:jc w:val="center"/>
        </w:trPr>
        <w:tc>
          <w:tcPr>
            <w:tcW w:w="446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left"/>
              <w:rPr>
                <w:rFonts w:ascii="Garamond" w:eastAsia="Times New Roman" w:hAnsi="Garamond" w:cs="Garamond"/>
                <w:lang w:eastAsia="zh-CN"/>
              </w:rPr>
            </w:pPr>
            <w:r w:rsidRPr="004D653A">
              <w:rPr>
                <w:rFonts w:ascii="Garamond" w:eastAsia="Times New Roman" w:hAnsi="Garamond" w:cs="Garamond"/>
                <w:lang w:eastAsia="zh-CN"/>
              </w:rPr>
              <w:t>GDP/capita (log)</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0.014</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0.007</w:t>
            </w:r>
          </w:p>
        </w:tc>
      </w:tr>
      <w:tr w:rsidR="008D1CD3" w:rsidRPr="004D653A" w:rsidTr="00CD3376">
        <w:trPr>
          <w:trHeight w:val="300"/>
          <w:jc w:val="center"/>
        </w:trPr>
        <w:tc>
          <w:tcPr>
            <w:tcW w:w="446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left"/>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(0.014)</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(0.014)</w:t>
            </w:r>
          </w:p>
        </w:tc>
      </w:tr>
      <w:tr w:rsidR="008D1CD3" w:rsidRPr="004D653A" w:rsidTr="00CD3376">
        <w:trPr>
          <w:trHeight w:val="300"/>
          <w:jc w:val="center"/>
        </w:trPr>
        <w:tc>
          <w:tcPr>
            <w:tcW w:w="446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left"/>
              <w:rPr>
                <w:rFonts w:ascii="Garamond" w:eastAsia="Times New Roman" w:hAnsi="Garamond" w:cs="Garamond"/>
                <w:lang w:eastAsia="zh-CN"/>
              </w:rPr>
            </w:pPr>
            <w:r w:rsidRPr="004D653A">
              <w:rPr>
                <w:rFonts w:ascii="Garamond" w:eastAsia="Times New Roman" w:hAnsi="Garamond" w:cs="Garamond"/>
                <w:lang w:eastAsia="zh-CN"/>
              </w:rPr>
              <w:t>distance (log)</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-0.052**</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-0.042*</w:t>
            </w:r>
          </w:p>
        </w:tc>
      </w:tr>
      <w:tr w:rsidR="008D1CD3" w:rsidRPr="004D653A" w:rsidTr="00CD3376">
        <w:trPr>
          <w:trHeight w:val="300"/>
          <w:jc w:val="center"/>
        </w:trPr>
        <w:tc>
          <w:tcPr>
            <w:tcW w:w="446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left"/>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(0.021)</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(0.024)</w:t>
            </w:r>
          </w:p>
        </w:tc>
      </w:tr>
      <w:tr w:rsidR="008D1CD3" w:rsidRPr="004D653A" w:rsidTr="00CD3376">
        <w:trPr>
          <w:trHeight w:val="300"/>
          <w:jc w:val="center"/>
        </w:trPr>
        <w:tc>
          <w:tcPr>
            <w:tcW w:w="446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left"/>
              <w:rPr>
                <w:rFonts w:ascii="Garamond" w:eastAsia="Times New Roman" w:hAnsi="Garamond" w:cs="Garamond"/>
                <w:lang w:eastAsia="zh-CN"/>
              </w:rPr>
            </w:pPr>
            <w:proofErr w:type="spellStart"/>
            <w:r w:rsidRPr="004D653A">
              <w:rPr>
                <w:rFonts w:ascii="Garamond" w:eastAsia="Times New Roman" w:hAnsi="Garamond" w:cs="Garamond"/>
                <w:lang w:eastAsia="zh-CN"/>
              </w:rPr>
              <w:t>Nber</w:t>
            </w:r>
            <w:proofErr w:type="spellEnd"/>
            <w:r w:rsidRPr="004D653A">
              <w:rPr>
                <w:rFonts w:ascii="Garamond" w:eastAsia="Times New Roman" w:hAnsi="Garamond" w:cs="Garamond"/>
                <w:lang w:eastAsia="zh-CN"/>
              </w:rPr>
              <w:t xml:space="preserve"> of exporters, same product (t-1)</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-0.001</w:t>
            </w:r>
          </w:p>
        </w:tc>
      </w:tr>
      <w:tr w:rsidR="008D1CD3" w:rsidRPr="004D653A" w:rsidTr="00CD3376">
        <w:trPr>
          <w:trHeight w:val="300"/>
          <w:jc w:val="center"/>
        </w:trPr>
        <w:tc>
          <w:tcPr>
            <w:tcW w:w="446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left"/>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(0.004)</w:t>
            </w:r>
          </w:p>
        </w:tc>
      </w:tr>
      <w:tr w:rsidR="008D1CD3" w:rsidRPr="004D653A" w:rsidTr="00CD3376">
        <w:trPr>
          <w:trHeight w:val="300"/>
          <w:jc w:val="center"/>
        </w:trPr>
        <w:tc>
          <w:tcPr>
            <w:tcW w:w="446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left"/>
              <w:rPr>
                <w:rFonts w:ascii="Garamond" w:eastAsia="Times New Roman" w:hAnsi="Garamond" w:cs="Garamond"/>
                <w:lang w:eastAsia="zh-CN"/>
              </w:rPr>
            </w:pPr>
            <w:proofErr w:type="spellStart"/>
            <w:r w:rsidRPr="004D653A">
              <w:rPr>
                <w:rFonts w:ascii="Garamond" w:eastAsia="Times New Roman" w:hAnsi="Garamond" w:cs="Garamond"/>
                <w:lang w:eastAsia="zh-CN"/>
              </w:rPr>
              <w:t>Nber</w:t>
            </w:r>
            <w:proofErr w:type="spellEnd"/>
            <w:r w:rsidRPr="004D653A">
              <w:rPr>
                <w:rFonts w:ascii="Garamond" w:eastAsia="Times New Roman" w:hAnsi="Garamond" w:cs="Garamond"/>
                <w:lang w:eastAsia="zh-CN"/>
              </w:rPr>
              <w:t xml:space="preserve"> of exporters, same market (t-1)</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0.000</w:t>
            </w:r>
          </w:p>
        </w:tc>
      </w:tr>
      <w:tr w:rsidR="008D1CD3" w:rsidRPr="004D653A" w:rsidTr="00CD3376">
        <w:trPr>
          <w:trHeight w:val="300"/>
          <w:jc w:val="center"/>
        </w:trPr>
        <w:tc>
          <w:tcPr>
            <w:tcW w:w="446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left"/>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(0.000)</w:t>
            </w:r>
          </w:p>
        </w:tc>
      </w:tr>
      <w:tr w:rsidR="008D1CD3" w:rsidRPr="004D653A" w:rsidTr="00CD3376">
        <w:trPr>
          <w:trHeight w:val="300"/>
          <w:jc w:val="center"/>
        </w:trPr>
        <w:tc>
          <w:tcPr>
            <w:tcW w:w="446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left"/>
              <w:rPr>
                <w:rFonts w:ascii="Garamond" w:eastAsia="Times New Roman" w:hAnsi="Garamond" w:cs="Garamond"/>
                <w:lang w:eastAsia="zh-CN"/>
              </w:rPr>
            </w:pPr>
            <w:proofErr w:type="spellStart"/>
            <w:r w:rsidRPr="004D653A">
              <w:rPr>
                <w:rFonts w:ascii="Garamond" w:eastAsia="Times New Roman" w:hAnsi="Garamond" w:cs="Garamond"/>
                <w:lang w:eastAsia="zh-CN"/>
              </w:rPr>
              <w:t>Nber</w:t>
            </w:r>
            <w:proofErr w:type="spellEnd"/>
            <w:r w:rsidRPr="004D653A">
              <w:rPr>
                <w:rFonts w:ascii="Garamond" w:eastAsia="Times New Roman" w:hAnsi="Garamond" w:cs="Garamond"/>
                <w:lang w:eastAsia="zh-CN"/>
              </w:rPr>
              <w:t xml:space="preserve"> of exporters, same product and market (t-1)</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0.023***</w:t>
            </w:r>
          </w:p>
        </w:tc>
      </w:tr>
      <w:tr w:rsidR="008D1CD3" w:rsidRPr="004D653A" w:rsidTr="00CD3376">
        <w:trPr>
          <w:trHeight w:val="300"/>
          <w:jc w:val="center"/>
        </w:trPr>
        <w:tc>
          <w:tcPr>
            <w:tcW w:w="446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left"/>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(0.007)</w:t>
            </w:r>
          </w:p>
        </w:tc>
      </w:tr>
      <w:tr w:rsidR="008D1CD3" w:rsidRPr="004D653A" w:rsidTr="00CD3376">
        <w:trPr>
          <w:trHeight w:val="300"/>
          <w:jc w:val="center"/>
        </w:trPr>
        <w:tc>
          <w:tcPr>
            <w:tcW w:w="4460" w:type="dxa"/>
            <w:tcBorders>
              <w:top w:val="nil"/>
              <w:left w:val="nil"/>
              <w:bottom w:val="nil"/>
              <w:right w:val="nil"/>
            </w:tcBorders>
            <w:noWrap/>
            <w:vAlign w:val="bottom"/>
          </w:tcPr>
          <w:p w:rsidR="008D1CD3" w:rsidRPr="004D653A" w:rsidRDefault="009C3008" w:rsidP="00E314F0">
            <w:pPr>
              <w:keepNext w:val="0"/>
              <w:widowControl w:val="0"/>
              <w:spacing w:after="0" w:line="240" w:lineRule="auto"/>
              <w:jc w:val="left"/>
              <w:rPr>
                <w:rFonts w:ascii="Garamond" w:eastAsia="Times New Roman" w:hAnsi="Garamond" w:cs="Garamond"/>
                <w:lang w:eastAsia="zh-CN"/>
              </w:rPr>
            </w:pPr>
            <w:proofErr w:type="spellStart"/>
            <w:r>
              <w:rPr>
                <w:rFonts w:ascii="Garamond" w:eastAsia="Times New Roman" w:hAnsi="Garamond" w:cs="Garamond"/>
                <w:lang w:eastAsia="zh-CN"/>
              </w:rPr>
              <w:t>prod_exp</w:t>
            </w:r>
            <w:proofErr w:type="spellEnd"/>
            <w:r>
              <w:rPr>
                <w:rFonts w:ascii="Garamond" w:eastAsia="Times New Roman" w:hAnsi="Garamond" w:cs="Garamond"/>
                <w:lang w:eastAsia="zh-CN"/>
              </w:rPr>
              <w:t>.</w:t>
            </w:r>
            <w:r w:rsidR="008D1CD3" w:rsidRPr="004D653A">
              <w:rPr>
                <w:rFonts w:ascii="Garamond" w:eastAsia="Times New Roman" w:hAnsi="Garamond" w:cs="Garamond"/>
                <w:lang w:eastAsia="zh-CN"/>
              </w:rPr>
              <w:t xml:space="preserve"> x homo. good</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0.050**</w:t>
            </w:r>
          </w:p>
        </w:tc>
      </w:tr>
      <w:tr w:rsidR="008D1CD3" w:rsidRPr="004D653A" w:rsidTr="00CD3376">
        <w:trPr>
          <w:trHeight w:val="300"/>
          <w:jc w:val="center"/>
        </w:trPr>
        <w:tc>
          <w:tcPr>
            <w:tcW w:w="446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left"/>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(0.022)</w:t>
            </w:r>
          </w:p>
        </w:tc>
      </w:tr>
      <w:tr w:rsidR="008D1CD3" w:rsidRPr="004D653A" w:rsidTr="00CD3376">
        <w:trPr>
          <w:trHeight w:val="300"/>
          <w:jc w:val="center"/>
        </w:trPr>
        <w:tc>
          <w:tcPr>
            <w:tcW w:w="446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left"/>
              <w:rPr>
                <w:rFonts w:ascii="Garamond" w:eastAsia="Times New Roman" w:hAnsi="Garamond" w:cs="Garamond"/>
                <w:lang w:eastAsia="zh-CN"/>
              </w:rPr>
            </w:pPr>
            <w:r w:rsidRPr="004D653A">
              <w:rPr>
                <w:rFonts w:ascii="Garamond" w:eastAsia="Times New Roman" w:hAnsi="Garamond" w:cs="Garamond"/>
                <w:lang w:eastAsia="zh-CN"/>
              </w:rPr>
              <w:t>size (t-1) x program</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-0.000</w:t>
            </w:r>
          </w:p>
        </w:tc>
      </w:tr>
      <w:tr w:rsidR="008D1CD3" w:rsidRPr="004D653A" w:rsidTr="00CD3376">
        <w:trPr>
          <w:trHeight w:val="300"/>
          <w:jc w:val="center"/>
        </w:trPr>
        <w:tc>
          <w:tcPr>
            <w:tcW w:w="446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left"/>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(0.000)</w:t>
            </w:r>
          </w:p>
        </w:tc>
      </w:tr>
      <w:tr w:rsidR="008D1CD3" w:rsidRPr="004D653A" w:rsidTr="00CD3376">
        <w:trPr>
          <w:trHeight w:val="300"/>
          <w:jc w:val="center"/>
        </w:trPr>
        <w:tc>
          <w:tcPr>
            <w:tcW w:w="446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left"/>
              <w:rPr>
                <w:rFonts w:ascii="Garamond" w:eastAsia="Times New Roman" w:hAnsi="Garamond" w:cs="Garamond"/>
                <w:lang w:eastAsia="zh-CN"/>
              </w:rPr>
            </w:pPr>
            <w:r w:rsidRPr="004D653A">
              <w:rPr>
                <w:rFonts w:ascii="Garamond" w:eastAsia="Times New Roman" w:hAnsi="Garamond" w:cs="Garamond"/>
                <w:lang w:eastAsia="zh-CN"/>
              </w:rPr>
              <w:t xml:space="preserve">size (t-1) x </w:t>
            </w:r>
            <w:proofErr w:type="spellStart"/>
            <w:r w:rsidRPr="004D653A">
              <w:rPr>
                <w:rFonts w:ascii="Garamond" w:eastAsia="Times New Roman" w:hAnsi="Garamond" w:cs="Garamond"/>
                <w:lang w:eastAsia="zh-CN"/>
              </w:rPr>
              <w:t>log</w:t>
            </w:r>
            <w:proofErr w:type="spellEnd"/>
            <w:r w:rsidRPr="004D653A">
              <w:rPr>
                <w:rFonts w:ascii="Garamond" w:eastAsia="Times New Roman" w:hAnsi="Garamond" w:cs="Garamond"/>
                <w:lang w:eastAsia="zh-CN"/>
              </w:rPr>
              <w:t xml:space="preserve"> distance</w:t>
            </w: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-0.000</w:t>
            </w:r>
          </w:p>
        </w:tc>
      </w:tr>
      <w:tr w:rsidR="008D1CD3" w:rsidRPr="004D653A" w:rsidTr="00CD3376">
        <w:trPr>
          <w:trHeight w:val="300"/>
          <w:jc w:val="center"/>
        </w:trPr>
        <w:tc>
          <w:tcPr>
            <w:tcW w:w="446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left"/>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lang w:eastAsia="zh-CN"/>
              </w:rPr>
            </w:pPr>
          </w:p>
        </w:tc>
        <w:tc>
          <w:tcPr>
            <w:tcW w:w="1240" w:type="dxa"/>
            <w:tcBorders>
              <w:top w:val="nil"/>
              <w:left w:val="nil"/>
              <w:bottom w:val="nil"/>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(0.000)</w:t>
            </w:r>
          </w:p>
        </w:tc>
      </w:tr>
      <w:tr w:rsidR="008D1CD3" w:rsidRPr="004D653A" w:rsidTr="00CD3376">
        <w:trPr>
          <w:trHeight w:val="300"/>
          <w:jc w:val="center"/>
        </w:trPr>
        <w:tc>
          <w:tcPr>
            <w:tcW w:w="4460" w:type="dxa"/>
            <w:tcBorders>
              <w:top w:val="nil"/>
              <w:left w:val="nil"/>
              <w:bottom w:val="single" w:sz="4" w:space="0" w:color="auto"/>
              <w:right w:val="nil"/>
            </w:tcBorders>
            <w:noWrap/>
            <w:vAlign w:val="bottom"/>
          </w:tcPr>
          <w:p w:rsidR="008D1CD3" w:rsidRPr="004D653A" w:rsidRDefault="008D1CD3" w:rsidP="00E314F0">
            <w:pPr>
              <w:keepNext w:val="0"/>
              <w:widowControl w:val="0"/>
              <w:spacing w:after="0" w:line="240" w:lineRule="auto"/>
              <w:jc w:val="left"/>
              <w:rPr>
                <w:rFonts w:ascii="Garamond" w:eastAsia="Times New Roman" w:hAnsi="Garamond"/>
                <w:lang w:eastAsia="zh-CN"/>
              </w:rPr>
            </w:pPr>
            <w:r w:rsidRPr="004D653A">
              <w:rPr>
                <w:rFonts w:ascii="Garamond" w:eastAsia="Times New Roman" w:hAnsi="Garamond"/>
                <w:lang w:eastAsia="zh-CN"/>
              </w:rPr>
              <w:t> </w:t>
            </w:r>
          </w:p>
        </w:tc>
        <w:tc>
          <w:tcPr>
            <w:tcW w:w="1240" w:type="dxa"/>
            <w:tcBorders>
              <w:top w:val="nil"/>
              <w:left w:val="nil"/>
              <w:bottom w:val="single" w:sz="4" w:space="0" w:color="auto"/>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lang w:eastAsia="zh-CN"/>
              </w:rPr>
            </w:pPr>
            <w:r w:rsidRPr="004D653A">
              <w:rPr>
                <w:rFonts w:ascii="Garamond" w:eastAsia="Times New Roman" w:hAnsi="Garamond"/>
                <w:lang w:eastAsia="zh-CN"/>
              </w:rPr>
              <w:t> </w:t>
            </w:r>
          </w:p>
        </w:tc>
        <w:tc>
          <w:tcPr>
            <w:tcW w:w="1240" w:type="dxa"/>
            <w:tcBorders>
              <w:top w:val="nil"/>
              <w:left w:val="nil"/>
              <w:bottom w:val="single" w:sz="4" w:space="0" w:color="auto"/>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lang w:eastAsia="zh-CN"/>
              </w:rPr>
            </w:pPr>
            <w:r w:rsidRPr="004D653A">
              <w:rPr>
                <w:rFonts w:ascii="Garamond" w:eastAsia="Times New Roman" w:hAnsi="Garamond"/>
                <w:lang w:eastAsia="zh-CN"/>
              </w:rPr>
              <w:t> </w:t>
            </w:r>
          </w:p>
        </w:tc>
        <w:tc>
          <w:tcPr>
            <w:tcW w:w="1240" w:type="dxa"/>
            <w:tcBorders>
              <w:top w:val="nil"/>
              <w:left w:val="nil"/>
              <w:bottom w:val="single" w:sz="4" w:space="0" w:color="auto"/>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lang w:eastAsia="zh-CN"/>
              </w:rPr>
            </w:pPr>
            <w:r w:rsidRPr="004D653A">
              <w:rPr>
                <w:rFonts w:ascii="Garamond" w:eastAsia="Times New Roman" w:hAnsi="Garamond"/>
                <w:lang w:eastAsia="zh-CN"/>
              </w:rPr>
              <w:t> </w:t>
            </w:r>
          </w:p>
        </w:tc>
      </w:tr>
      <w:tr w:rsidR="008D1CD3" w:rsidRPr="004D653A" w:rsidTr="00CD3376">
        <w:trPr>
          <w:trHeight w:val="300"/>
          <w:jc w:val="center"/>
        </w:trPr>
        <w:tc>
          <w:tcPr>
            <w:tcW w:w="4460" w:type="dxa"/>
            <w:tcBorders>
              <w:top w:val="nil"/>
              <w:left w:val="nil"/>
              <w:bottom w:val="single" w:sz="4" w:space="0" w:color="auto"/>
              <w:right w:val="nil"/>
            </w:tcBorders>
            <w:noWrap/>
            <w:vAlign w:val="bottom"/>
          </w:tcPr>
          <w:p w:rsidR="008D1CD3" w:rsidRPr="004D653A" w:rsidRDefault="008D1CD3" w:rsidP="00E314F0">
            <w:pPr>
              <w:keepNext w:val="0"/>
              <w:widowControl w:val="0"/>
              <w:spacing w:after="0" w:line="240" w:lineRule="auto"/>
              <w:jc w:val="left"/>
              <w:rPr>
                <w:rFonts w:ascii="Garamond" w:eastAsia="Times New Roman" w:hAnsi="Garamond" w:cs="Garamond"/>
                <w:lang w:eastAsia="zh-CN"/>
              </w:rPr>
            </w:pPr>
            <w:r w:rsidRPr="004D653A">
              <w:rPr>
                <w:rFonts w:ascii="Garamond" w:eastAsia="Times New Roman" w:hAnsi="Garamond" w:cs="Garamond"/>
                <w:lang w:eastAsia="zh-CN"/>
              </w:rPr>
              <w:t>Observations</w:t>
            </w:r>
          </w:p>
        </w:tc>
        <w:tc>
          <w:tcPr>
            <w:tcW w:w="1240" w:type="dxa"/>
            <w:tcBorders>
              <w:top w:val="nil"/>
              <w:left w:val="nil"/>
              <w:bottom w:val="single" w:sz="4" w:space="0" w:color="auto"/>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2,097</w:t>
            </w:r>
          </w:p>
        </w:tc>
        <w:tc>
          <w:tcPr>
            <w:tcW w:w="1240" w:type="dxa"/>
            <w:tcBorders>
              <w:top w:val="nil"/>
              <w:left w:val="nil"/>
              <w:bottom w:val="single" w:sz="4" w:space="0" w:color="auto"/>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1,841</w:t>
            </w:r>
          </w:p>
        </w:tc>
        <w:tc>
          <w:tcPr>
            <w:tcW w:w="1240" w:type="dxa"/>
            <w:tcBorders>
              <w:top w:val="nil"/>
              <w:left w:val="nil"/>
              <w:bottom w:val="single" w:sz="4" w:space="0" w:color="auto"/>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1,841</w:t>
            </w:r>
          </w:p>
        </w:tc>
      </w:tr>
      <w:tr w:rsidR="008D1CD3" w:rsidRPr="004D653A" w:rsidTr="00CD3376">
        <w:trPr>
          <w:trHeight w:val="315"/>
          <w:jc w:val="center"/>
        </w:trPr>
        <w:tc>
          <w:tcPr>
            <w:tcW w:w="4460" w:type="dxa"/>
            <w:tcBorders>
              <w:top w:val="nil"/>
              <w:left w:val="nil"/>
              <w:bottom w:val="single" w:sz="8" w:space="0" w:color="auto"/>
              <w:right w:val="nil"/>
            </w:tcBorders>
            <w:noWrap/>
            <w:vAlign w:val="bottom"/>
          </w:tcPr>
          <w:p w:rsidR="008D1CD3" w:rsidRPr="004D653A" w:rsidRDefault="008D1CD3" w:rsidP="00E314F0">
            <w:pPr>
              <w:keepNext w:val="0"/>
              <w:widowControl w:val="0"/>
              <w:spacing w:after="0" w:line="240" w:lineRule="auto"/>
              <w:jc w:val="left"/>
              <w:rPr>
                <w:rFonts w:ascii="Garamond" w:eastAsia="Times New Roman" w:hAnsi="Garamond" w:cs="Garamond"/>
                <w:lang w:eastAsia="zh-CN"/>
              </w:rPr>
            </w:pPr>
            <w:r w:rsidRPr="004D653A">
              <w:rPr>
                <w:rFonts w:ascii="Garamond" w:eastAsia="Times New Roman" w:hAnsi="Garamond" w:cs="Garamond"/>
                <w:lang w:eastAsia="zh-CN"/>
              </w:rPr>
              <w:t>R-squared</w:t>
            </w:r>
          </w:p>
        </w:tc>
        <w:tc>
          <w:tcPr>
            <w:tcW w:w="1240" w:type="dxa"/>
            <w:tcBorders>
              <w:top w:val="nil"/>
              <w:left w:val="nil"/>
              <w:bottom w:val="single" w:sz="4" w:space="0" w:color="auto"/>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0.275</w:t>
            </w:r>
          </w:p>
        </w:tc>
        <w:tc>
          <w:tcPr>
            <w:tcW w:w="1240" w:type="dxa"/>
            <w:tcBorders>
              <w:top w:val="nil"/>
              <w:left w:val="nil"/>
              <w:bottom w:val="single" w:sz="4" w:space="0" w:color="auto"/>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0.287</w:t>
            </w:r>
          </w:p>
        </w:tc>
        <w:tc>
          <w:tcPr>
            <w:tcW w:w="1240" w:type="dxa"/>
            <w:tcBorders>
              <w:top w:val="nil"/>
              <w:left w:val="nil"/>
              <w:bottom w:val="single" w:sz="4" w:space="0" w:color="auto"/>
              <w:right w:val="nil"/>
            </w:tcBorders>
            <w:noWrap/>
            <w:vAlign w:val="bottom"/>
          </w:tcPr>
          <w:p w:rsidR="008D1CD3" w:rsidRPr="004D653A" w:rsidRDefault="008D1CD3" w:rsidP="00E314F0">
            <w:pPr>
              <w:keepNext w:val="0"/>
              <w:widowControl w:val="0"/>
              <w:spacing w:after="0" w:line="240" w:lineRule="auto"/>
              <w:jc w:val="center"/>
              <w:rPr>
                <w:rFonts w:ascii="Garamond" w:eastAsia="Times New Roman" w:hAnsi="Garamond" w:cs="Garamond"/>
                <w:lang w:eastAsia="zh-CN"/>
              </w:rPr>
            </w:pPr>
            <w:r w:rsidRPr="004D653A">
              <w:rPr>
                <w:rFonts w:ascii="Garamond" w:eastAsia="Times New Roman" w:hAnsi="Garamond" w:cs="Garamond"/>
                <w:lang w:eastAsia="zh-CN"/>
              </w:rPr>
              <w:t>0.297</w:t>
            </w:r>
          </w:p>
        </w:tc>
      </w:tr>
      <w:tr w:rsidR="008D1CD3" w:rsidRPr="004D653A" w:rsidTr="008D1CD3">
        <w:trPr>
          <w:trHeight w:val="255"/>
          <w:jc w:val="center"/>
        </w:trPr>
        <w:tc>
          <w:tcPr>
            <w:tcW w:w="8180" w:type="dxa"/>
            <w:gridSpan w:val="4"/>
            <w:vMerge w:val="restart"/>
            <w:tcBorders>
              <w:top w:val="single" w:sz="8" w:space="0" w:color="auto"/>
              <w:left w:val="nil"/>
              <w:bottom w:val="nil"/>
              <w:right w:val="nil"/>
            </w:tcBorders>
          </w:tcPr>
          <w:p w:rsidR="008D1CD3" w:rsidRPr="004D653A" w:rsidRDefault="008D1CD3" w:rsidP="00E314F0">
            <w:pPr>
              <w:keepNext w:val="0"/>
              <w:widowControl w:val="0"/>
              <w:spacing w:after="0" w:line="240" w:lineRule="auto"/>
              <w:jc w:val="left"/>
              <w:rPr>
                <w:rFonts w:ascii="Garamond" w:eastAsia="Times New Roman" w:hAnsi="Garamond" w:cs="Garamond"/>
                <w:sz w:val="20"/>
                <w:szCs w:val="20"/>
                <w:lang w:eastAsia="zh-CN"/>
              </w:rPr>
            </w:pPr>
            <w:r w:rsidRPr="004D653A">
              <w:rPr>
                <w:rFonts w:ascii="Garamond" w:eastAsia="Times New Roman" w:hAnsi="Garamond" w:cs="Garamond"/>
                <w:sz w:val="20"/>
                <w:szCs w:val="20"/>
                <w:lang w:eastAsia="zh-CN"/>
              </w:rPr>
              <w:t>Product (HS 2-digit) and time fixed effects are included in all specifications but are not shown. Errors are clustered by product. Robust standard errors in parentheses. Significance levels *** p&lt;0.01, ** p&lt;0.05, * p&lt;0.1.</w:t>
            </w:r>
          </w:p>
        </w:tc>
      </w:tr>
      <w:tr w:rsidR="008D1CD3" w:rsidRPr="004D653A" w:rsidTr="00CD3376">
        <w:trPr>
          <w:trHeight w:val="255"/>
          <w:jc w:val="center"/>
        </w:trPr>
        <w:tc>
          <w:tcPr>
            <w:tcW w:w="8180" w:type="dxa"/>
            <w:gridSpan w:val="4"/>
            <w:vMerge/>
            <w:tcBorders>
              <w:top w:val="single" w:sz="8" w:space="0" w:color="auto"/>
              <w:left w:val="nil"/>
              <w:bottom w:val="nil"/>
              <w:right w:val="nil"/>
            </w:tcBorders>
            <w:vAlign w:val="center"/>
          </w:tcPr>
          <w:p w:rsidR="008D1CD3" w:rsidRPr="004D653A" w:rsidRDefault="008D1CD3" w:rsidP="00E314F0">
            <w:pPr>
              <w:keepNext w:val="0"/>
              <w:widowControl w:val="0"/>
              <w:spacing w:after="0" w:line="240" w:lineRule="auto"/>
              <w:jc w:val="left"/>
              <w:rPr>
                <w:rFonts w:ascii="Garamond" w:eastAsia="Times New Roman" w:hAnsi="Garamond"/>
                <w:sz w:val="20"/>
                <w:szCs w:val="20"/>
                <w:lang w:eastAsia="zh-CN"/>
              </w:rPr>
            </w:pPr>
          </w:p>
        </w:tc>
      </w:tr>
      <w:tr w:rsidR="008D1CD3" w:rsidRPr="004D653A" w:rsidTr="00CD3376">
        <w:trPr>
          <w:trHeight w:val="255"/>
          <w:jc w:val="center"/>
        </w:trPr>
        <w:tc>
          <w:tcPr>
            <w:tcW w:w="8180" w:type="dxa"/>
            <w:gridSpan w:val="4"/>
            <w:vMerge/>
            <w:tcBorders>
              <w:top w:val="single" w:sz="8" w:space="0" w:color="auto"/>
              <w:left w:val="nil"/>
              <w:bottom w:val="nil"/>
              <w:right w:val="nil"/>
            </w:tcBorders>
            <w:vAlign w:val="center"/>
          </w:tcPr>
          <w:p w:rsidR="008D1CD3" w:rsidRPr="004D653A" w:rsidRDefault="008D1CD3" w:rsidP="00E314F0">
            <w:pPr>
              <w:keepNext w:val="0"/>
              <w:widowControl w:val="0"/>
              <w:spacing w:after="0" w:line="240" w:lineRule="auto"/>
              <w:jc w:val="left"/>
              <w:rPr>
                <w:rFonts w:ascii="Garamond" w:eastAsia="Times New Roman" w:hAnsi="Garamond"/>
                <w:sz w:val="20"/>
                <w:szCs w:val="20"/>
                <w:lang w:eastAsia="zh-CN"/>
              </w:rPr>
            </w:pPr>
          </w:p>
        </w:tc>
      </w:tr>
    </w:tbl>
    <w:p w:rsidR="00905439" w:rsidRPr="00655771" w:rsidRDefault="00905439" w:rsidP="00E314F0">
      <w:pPr>
        <w:keepNext w:val="0"/>
        <w:widowControl w:val="0"/>
        <w:spacing w:before="200"/>
      </w:pPr>
      <w:r w:rsidRPr="00655771">
        <w:t>The results suggest that the survival of new trade relationships is affected by market experience. Exporters with soli</w:t>
      </w:r>
      <w:r w:rsidR="00435B5F">
        <w:t>d market experience (measured by</w:t>
      </w:r>
      <w:r w:rsidRPr="00655771">
        <w:t xml:space="preserve"> the number of times this market was served </w:t>
      </w:r>
      <w:r w:rsidRPr="00655771">
        <w:lastRenderedPageBreak/>
        <w:t>before)</w:t>
      </w:r>
      <w:r w:rsidR="00436F01">
        <w:rPr>
          <w:rStyle w:val="Appelnotedebasdep"/>
        </w:rPr>
        <w:footnoteReference w:id="38"/>
      </w:r>
      <w:r w:rsidRPr="00655771">
        <w:t xml:space="preserve"> have a higher probability to survive beyond their first year. The effect of</w:t>
      </w:r>
      <w:r w:rsidR="00435B5F">
        <w:t xml:space="preserve"> product experience (measured by</w:t>
      </w:r>
      <w:r w:rsidRPr="00655771">
        <w:t xml:space="preserve"> the num</w:t>
      </w:r>
      <w:r w:rsidR="00436F01">
        <w:t>ber of times this product was</w:t>
      </w:r>
      <w:r w:rsidRPr="00655771">
        <w:t xml:space="preserve"> exported before) on survival is positive and statistically significant but only in the case of homogenous goods (captured by the interaction term). This is probably because competition in homogeneous goods is fiercer and experienced exporters possess an advantage in terms of know-how (i.e. demand requirements and product standards) and reputation with respect to inexperienced exporters. Indeed once a product has been introduced and tested in other markets it is probably easier to introduce it into another market and survive – while this may be harder for “non-homogenous” products.  Exporter size seems not to have an effect on the probability to survive beyond the first year. As for firms exporting several products, they face a higher probability to exit market </w:t>
      </w:r>
      <w:r w:rsidRPr="00655771">
        <w:rPr>
          <w:i/>
          <w:iCs/>
        </w:rPr>
        <w:t xml:space="preserve">j </w:t>
      </w:r>
      <w:r w:rsidRPr="00655771">
        <w:t xml:space="preserve">with product </w:t>
      </w:r>
      <w:r w:rsidRPr="00655771">
        <w:rPr>
          <w:i/>
          <w:iCs/>
        </w:rPr>
        <w:t>p</w:t>
      </w:r>
      <w:r w:rsidRPr="00655771">
        <w:t xml:space="preserve"> after one year. A similar effect is found in the cases of exporters selling to multiple markets. But in both cases, the effect is not statistical significant and its magnitude is very small.</w:t>
      </w:r>
    </w:p>
    <w:p w:rsidR="00905439" w:rsidRPr="00655771" w:rsidRDefault="00313E05" w:rsidP="00E314F0">
      <w:pPr>
        <w:keepNext w:val="0"/>
        <w:widowControl w:val="0"/>
        <w:autoSpaceDE w:val="0"/>
        <w:autoSpaceDN w:val="0"/>
        <w:adjustRightInd w:val="0"/>
      </w:pPr>
      <w:r>
        <w:t>Regarding</w:t>
      </w:r>
      <w:r w:rsidR="00905439" w:rsidRPr="00655771">
        <w:t xml:space="preserve"> product characteristics, only the effect of a support program is positive and significant. However, as discussed earlier, the interpretation of this result should be very careful as this positive association does not imply any causality. We cannot establish whether the success in terms of survival among the products promoted by the government and donors is a consequence of the support program or a cause. In fact, it is reasonable to think that the products supported by the Government and donors programs were selected precisely because of their performance. With respect to the variables accounting for market characteristics, only distance has a statistically significant effect on the survival of young exporters and its effect is negative (i.e. survival is harder in more distant markets).  </w:t>
      </w:r>
    </w:p>
    <w:p w:rsidR="00BE0717" w:rsidRDefault="00905439" w:rsidP="00E314F0">
      <w:pPr>
        <w:keepNext w:val="0"/>
        <w:widowControl w:val="0"/>
      </w:pPr>
      <w:r w:rsidRPr="00655771">
        <w:t xml:space="preserve">With respect to the variables </w:t>
      </w:r>
      <w:proofErr w:type="spellStart"/>
      <w:r w:rsidRPr="00655771">
        <w:t>proxiyng</w:t>
      </w:r>
      <w:proofErr w:type="spellEnd"/>
      <w:r w:rsidRPr="00655771">
        <w:t xml:space="preserve"> for information spillovers, only the number of firms exporting the same product to the same market has a positive effect on survival.  A larger number of firms in a market may be seen as sign of profitability and thus attract more exporters. In turn, the newcomers may benefit from the reputation established by his peers and their know-how to improve their chances of survival.     </w:t>
      </w:r>
      <w:r w:rsidR="00BE0717">
        <w:t xml:space="preserve"> </w:t>
      </w:r>
    </w:p>
    <w:p w:rsidR="00EE6DC6" w:rsidRDefault="007060A9" w:rsidP="006B3FFC">
      <w:pPr>
        <w:keepNext w:val="0"/>
        <w:widowControl w:val="0"/>
      </w:pPr>
      <w:r w:rsidRPr="00655771">
        <w:t>In conclusion, in this section we showed that government support, distance, and product experience especially in the case of homogeneous goods are the determinants with the largest effects on the survival of young exporters. However, as discussed earlier, the variable capturing government support is potentially endogenous as the good performance of the products selected for the program may have influenced the choice of the government or donors when designing its program.</w:t>
      </w:r>
      <w:r w:rsidR="00777BA2">
        <w:rPr>
          <w:rStyle w:val="Appelnotedebasdep"/>
        </w:rPr>
        <w:footnoteReference w:id="39"/>
      </w:r>
      <w:r w:rsidR="00953C4C">
        <w:t xml:space="preserve">   </w:t>
      </w:r>
      <w:r w:rsidR="003324CE">
        <w:t xml:space="preserve"> </w:t>
      </w:r>
    </w:p>
    <w:p w:rsidR="00980311" w:rsidRPr="00A0556F" w:rsidRDefault="00980311" w:rsidP="006B3FFC">
      <w:pPr>
        <w:pStyle w:val="Style1"/>
        <w:keepNext w:val="0"/>
        <w:keepLines w:val="0"/>
        <w:widowControl w:val="0"/>
      </w:pPr>
      <w:bookmarkStart w:id="43" w:name="_Toc303332504"/>
      <w:bookmarkStart w:id="44" w:name="_Toc305445919"/>
      <w:r w:rsidRPr="00A0556F">
        <w:t>Conclusion</w:t>
      </w:r>
      <w:bookmarkEnd w:id="43"/>
      <w:bookmarkEnd w:id="44"/>
      <w:r w:rsidRPr="00A0556F">
        <w:t xml:space="preserve"> </w:t>
      </w:r>
    </w:p>
    <w:p w:rsidR="00DF7888" w:rsidRPr="00655771" w:rsidRDefault="00FC3598" w:rsidP="006B3FFC">
      <w:pPr>
        <w:keepNext w:val="0"/>
        <w:widowControl w:val="0"/>
      </w:pPr>
      <w:r w:rsidRPr="00655771">
        <w:t xml:space="preserve">Mali’s export performance has been little studied so far, although the country presents one of the highest export concentrations in Sub-Saharan Africa. </w:t>
      </w:r>
      <w:r w:rsidR="00DF7888" w:rsidRPr="00655771">
        <w:t>Over-dependence on gold and cotton threatens the country's long-run growth prospects and urgently calls for furth</w:t>
      </w:r>
      <w:r w:rsidR="00DF7888">
        <w:t>er diversification. This paper</w:t>
      </w:r>
      <w:r w:rsidR="00DF7888" w:rsidRPr="00655771">
        <w:t xml:space="preserve"> sheds new lig</w:t>
      </w:r>
      <w:r>
        <w:t>ht on Mali</w:t>
      </w:r>
      <w:r w:rsidR="00DF7888" w:rsidRPr="00655771">
        <w:t xml:space="preserve">’s </w:t>
      </w:r>
      <w:r w:rsidR="006B3FFC">
        <w:t xml:space="preserve">exporter dynamics, </w:t>
      </w:r>
      <w:r w:rsidR="00DF7888" w:rsidRPr="00655771">
        <w:t xml:space="preserve">sources of diversification, </w:t>
      </w:r>
      <w:r w:rsidR="006B3FFC">
        <w:t xml:space="preserve">and </w:t>
      </w:r>
      <w:r w:rsidR="00DF7888" w:rsidRPr="00655771">
        <w:t xml:space="preserve">on the </w:t>
      </w:r>
      <w:r w:rsidR="006B3FFC">
        <w:t xml:space="preserve">determinants of </w:t>
      </w:r>
      <w:r w:rsidR="00920A6D">
        <w:t xml:space="preserve">firm </w:t>
      </w:r>
      <w:r w:rsidR="00DF7888" w:rsidRPr="00655771">
        <w:t xml:space="preserve">diversification. </w:t>
      </w:r>
    </w:p>
    <w:p w:rsidR="00C05F80" w:rsidRDefault="006B241A" w:rsidP="006B3FFC">
      <w:pPr>
        <w:keepNext w:val="0"/>
        <w:widowControl w:val="0"/>
      </w:pPr>
      <w:r>
        <w:t>At the aggregate level, w</w:t>
      </w:r>
      <w:r w:rsidR="006B3FFC">
        <w:t>e decompose</w:t>
      </w:r>
      <w:r w:rsidR="00C574BF" w:rsidRPr="00655771">
        <w:t xml:space="preserve"> trade into an extensive and intensive margin for the period </w:t>
      </w:r>
      <w:r w:rsidR="00C574BF" w:rsidRPr="00655771">
        <w:lastRenderedPageBreak/>
        <w:t xml:space="preserve">1996-2008 and </w:t>
      </w:r>
      <w:r w:rsidR="0005299F">
        <w:t xml:space="preserve">find that the main sources of diversification </w:t>
      </w:r>
      <w:r w:rsidR="002E0016">
        <w:t xml:space="preserve">have been </w:t>
      </w:r>
      <w:r w:rsidR="0005299F">
        <w:t xml:space="preserve">the </w:t>
      </w:r>
      <w:r w:rsidR="00C574BF" w:rsidRPr="00655771">
        <w:t>exports to new markets</w:t>
      </w:r>
      <w:r w:rsidR="0005299F">
        <w:t xml:space="preserve"> and </w:t>
      </w:r>
      <w:r w:rsidR="00C574BF" w:rsidRPr="00655771">
        <w:t>the expansion of non-traditional exports (i.e. exports that did not exist in 2000 or that had small export shares in Mali’s export portfolio). Overall, this timid process of diversification remains largely insufficient to rebalance the country’s export portfolio.</w:t>
      </w:r>
      <w:r w:rsidR="0005299F">
        <w:t xml:space="preserve"> </w:t>
      </w:r>
      <w:r w:rsidR="006B3FFC">
        <w:t xml:space="preserve">At the firm-level, we found that </w:t>
      </w:r>
      <w:r w:rsidR="00DA4CD1">
        <w:t xml:space="preserve">incumbent exporters </w:t>
      </w:r>
      <w:r w:rsidR="006B3FFC">
        <w:t xml:space="preserve">were </w:t>
      </w:r>
      <w:r w:rsidR="00DA4CD1">
        <w:t>the main players behind both margi</w:t>
      </w:r>
      <w:r w:rsidR="00F76B8C">
        <w:t>n</w:t>
      </w:r>
      <w:r>
        <w:t>s</w:t>
      </w:r>
      <w:r w:rsidR="006B3FFC">
        <w:t xml:space="preserve"> and</w:t>
      </w:r>
      <w:r>
        <w:t xml:space="preserve"> </w:t>
      </w:r>
      <w:r w:rsidR="006B3FFC">
        <w:t xml:space="preserve">that </w:t>
      </w:r>
      <w:r w:rsidR="00F76B8C">
        <w:t>churning in te</w:t>
      </w:r>
      <w:r w:rsidR="0025284E">
        <w:t>rms of exporters, product, and markets</w:t>
      </w:r>
      <w:r w:rsidR="007F43A0">
        <w:t xml:space="preserve"> </w:t>
      </w:r>
      <w:r w:rsidR="007F43A0" w:rsidRPr="0057736A">
        <w:t>(i.e. expo</w:t>
      </w:r>
      <w:r w:rsidR="006B3FFC">
        <w:t xml:space="preserve">rter-product, exporter-market, </w:t>
      </w:r>
      <w:r w:rsidR="007F43A0" w:rsidRPr="0057736A">
        <w:t>exporter-product-market level)</w:t>
      </w:r>
      <w:r w:rsidR="0025284E">
        <w:t xml:space="preserve"> </w:t>
      </w:r>
      <w:r w:rsidR="006B3FFC">
        <w:t>was</w:t>
      </w:r>
      <w:r>
        <w:t xml:space="preserve"> </w:t>
      </w:r>
      <w:r w:rsidR="006B3FFC">
        <w:t xml:space="preserve">also </w:t>
      </w:r>
      <w:r>
        <w:t>significant</w:t>
      </w:r>
      <w:r w:rsidR="007F43A0">
        <w:t xml:space="preserve">, which </w:t>
      </w:r>
      <w:r w:rsidR="006B3FFC">
        <w:t xml:space="preserve">could partially </w:t>
      </w:r>
      <w:r w:rsidR="0025284E">
        <w:t>explain the aggregate patterns observed in Mali.</w:t>
      </w:r>
      <w:r w:rsidR="007F43A0">
        <w:t xml:space="preserve"> </w:t>
      </w:r>
    </w:p>
    <w:p w:rsidR="002010B3" w:rsidRPr="00DB7BC6" w:rsidRDefault="006B3FFC" w:rsidP="00E314F0">
      <w:pPr>
        <w:keepNext w:val="0"/>
        <w:widowControl w:val="0"/>
        <w:rPr>
          <w:rFonts w:eastAsia="SimSun"/>
        </w:rPr>
      </w:pPr>
      <w:r>
        <w:rPr>
          <w:rFonts w:eastAsia="SimSun"/>
        </w:rPr>
        <w:t>Indeed, d</w:t>
      </w:r>
      <w:r w:rsidR="00CC3349" w:rsidRPr="00655771">
        <w:rPr>
          <w:rFonts w:eastAsia="SimSun"/>
        </w:rPr>
        <w:t>iversification is challenging because exporting is itself a difficult, risky and complex activity. I</w:t>
      </w:r>
      <w:r w:rsidR="00CC3349" w:rsidRPr="00655771">
        <w:t xml:space="preserve">t depends on the ability of exporters to penetrate new markets, introduce new products, but also on their capacity to durably maintain these business relationships. </w:t>
      </w:r>
      <w:r w:rsidR="0005299F">
        <w:rPr>
          <w:rFonts w:eastAsia="SimSun"/>
        </w:rPr>
        <w:t xml:space="preserve">We analyzed </w:t>
      </w:r>
      <w:r w:rsidR="00C574BF">
        <w:t>t</w:t>
      </w:r>
      <w:r w:rsidR="002010B3" w:rsidRPr="00655771">
        <w:t>he impact of supply-side and demand-side determinants on the probability of (</w:t>
      </w:r>
      <w:proofErr w:type="spellStart"/>
      <w:r w:rsidR="002010B3" w:rsidRPr="00655771">
        <w:t>i</w:t>
      </w:r>
      <w:proofErr w:type="spellEnd"/>
      <w:r w:rsidR="002010B3" w:rsidRPr="00655771">
        <w:t xml:space="preserve">) introducing a new product and </w:t>
      </w:r>
      <w:r w:rsidR="008B2232">
        <w:t>(ii) breaking into a new market</w:t>
      </w:r>
      <w:r w:rsidR="0005299F">
        <w:t xml:space="preserve">. Our results </w:t>
      </w:r>
      <w:r w:rsidR="002010B3" w:rsidRPr="00655771">
        <w:rPr>
          <w:rFonts w:eastAsia="SimSun"/>
        </w:rPr>
        <w:t xml:space="preserve">suggest that market experience is a critical driver of product diversification: an exporter will find it easier to introduce a new product in a country where he is already present, knows the consumer tastes, business environment, distribution’ networks and customs practices. On the other hand, we find </w:t>
      </w:r>
      <w:r w:rsidR="002010B3" w:rsidRPr="00655771">
        <w:t xml:space="preserve">that </w:t>
      </w:r>
      <w:r w:rsidR="002010B3" w:rsidRPr="00655771">
        <w:rPr>
          <w:rFonts w:eastAsia="SimSun"/>
        </w:rPr>
        <w:t>transport costs constitute a major obstacle to the introduction of a new product as it reduces the competitiveness of exporters in foreign markets. These costs are particularly high, and constraining, in the case of a landlocked country like Mali, which points to the importance of trade facilitation and targeted infrastructure investments</w:t>
      </w:r>
    </w:p>
    <w:p w:rsidR="002010B3" w:rsidRPr="00655771" w:rsidRDefault="002010B3" w:rsidP="00E314F0">
      <w:pPr>
        <w:keepNext w:val="0"/>
        <w:widowControl w:val="0"/>
        <w:autoSpaceDE w:val="0"/>
        <w:autoSpaceDN w:val="0"/>
        <w:adjustRightInd w:val="0"/>
      </w:pPr>
      <w:r w:rsidRPr="00655771">
        <w:t>As for the determinants of market diversification, our analysis suggests that variables with the largest effect on the probability to break into a new market are product experience, as well as the existence of a support program. Both have a positive effect on the probability of exporting to a new market. In the case of product experience, exporters will found easier to venture into new markets with products that were successfully exported elsewhere. As for the support program variable, this is potentially endogenous variable and we cannot establish the causality of its effect. In fact it could be that the products supported by the program were selected by the government and donors precisely because of their good performance.</w:t>
      </w:r>
    </w:p>
    <w:p w:rsidR="002010B3" w:rsidRPr="00655771" w:rsidRDefault="000304E3" w:rsidP="00E314F0">
      <w:pPr>
        <w:keepNext w:val="0"/>
        <w:widowControl w:val="0"/>
        <w:autoSpaceDE w:val="0"/>
        <w:autoSpaceDN w:val="0"/>
        <w:adjustRightInd w:val="0"/>
      </w:pPr>
      <w:r>
        <w:t>Finally, this study looks</w:t>
      </w:r>
      <w:r w:rsidR="002010B3" w:rsidRPr="00655771">
        <w:t xml:space="preserve"> at the survival among new exporters. This is an important issue as new export flow can have a significant impact on export growth and diversification only if they manage to survive and expand. However, we found that in Mali, like in many other developing countries, survival among new exporters is very low. One every two exporters exits the market after just one year. We examine the effect of firm, market and product characteristics on the probability of surviving after one year of activity. We find that product experience has a positive effect on the probability of surviving beyond the first year, but only in the case of homogeneous goods. These products are likely to face fiercer competition than heterogeneous products. In this context, having an expertise and established reputation in a market are very likely to help exporters to retain clients, attract new ones and thus incre</w:t>
      </w:r>
      <w:r>
        <w:t xml:space="preserve">ase their chances of survival. </w:t>
      </w:r>
      <w:r w:rsidR="002010B3" w:rsidRPr="00655771">
        <w:t xml:space="preserve">Market experience has also a positive effect on the probability of surviving beyond the first year. Such experience helps exporters to acquire information on the business environment, demand tastes, profitability and to better assess the risks regarding a business opportunity. The distance from the market has also a negative effect on the survival of young exporters. Serving far away markets incur larger transport costs and probably also show a higher level of delivery uncertainty (i.e. the exporter cannot control the delivery of the merchandise, quality, storage, etc). Finally, exporters selling a product under a support program face a higher survival probability beyond the first year of activity. But again, since this variable is potentially endogenous, we cannot determine the direction of the effect. </w:t>
      </w:r>
    </w:p>
    <w:p w:rsidR="002010B3" w:rsidRPr="00655771" w:rsidRDefault="002010B3" w:rsidP="00E314F0">
      <w:pPr>
        <w:keepNext w:val="0"/>
        <w:widowControl w:val="0"/>
        <w:autoSpaceDE w:val="0"/>
        <w:autoSpaceDN w:val="0"/>
        <w:adjustRightInd w:val="0"/>
      </w:pPr>
      <w:r w:rsidRPr="00655771">
        <w:t xml:space="preserve">Our findings have important policy implications. First, they highlight the effects of information </w:t>
      </w:r>
      <w:r w:rsidRPr="00655771">
        <w:lastRenderedPageBreak/>
        <w:t xml:space="preserve">asymmetries which could be reduced by improving the linkages between exporters and the markets. The results suggest that the information acquired in a market or with a product through experience is one of the main factors helping exporters to diversify and survive. During the exporting process, exporters learn about product standards, transportation networks, customs regulations, clients’ requirements and about business profitability. On the other hand, buyers learn about the quality of the product and the ability of an exporter to deliver. Export promotion agencies could play a role in reducing information asymmetries between exporters and markets. Recent evidence from 103 countries (Lederman, </w:t>
      </w:r>
      <w:proofErr w:type="spellStart"/>
      <w:r w:rsidRPr="00655771">
        <w:t>Olarreaga</w:t>
      </w:r>
      <w:proofErr w:type="spellEnd"/>
      <w:r w:rsidRPr="00655771">
        <w:t xml:space="preserve"> and Payton, 2010) suggests that export promotion agencies have positive and statistically significant effect on exports. The creation of a promotion agency has been announced in Mali, but no timeline exists for its implementation. </w:t>
      </w:r>
    </w:p>
    <w:p w:rsidR="002010B3" w:rsidRPr="00655771" w:rsidRDefault="002010B3" w:rsidP="00E314F0">
      <w:pPr>
        <w:keepNext w:val="0"/>
        <w:widowControl w:val="0"/>
      </w:pPr>
      <w:r w:rsidRPr="00655771">
        <w:t xml:space="preserve">Second, transport costs appear as a key determinant of diversification and survival. Market connectivity could be improved through improved and faster access to ports not only by supplying the necessary infrastructure, but also by cutting on red tape and shortening the time associated with customs procedures. This is particularly critical in the case of agricultural products, which have a limited life cycle and are quickly perishable.   </w:t>
      </w:r>
    </w:p>
    <w:p w:rsidR="002010B3" w:rsidRDefault="002010B3" w:rsidP="00E314F0">
      <w:pPr>
        <w:keepNext w:val="0"/>
        <w:widowControl w:val="0"/>
      </w:pPr>
      <w:r w:rsidRPr="00F93CCB">
        <w:t>Third, the qualitative data collected among Malian exporters suggest that access to credit is considered a major constraint, especially for agribusiness because of the lag between the moment the capital to start operating is required and the moment exporters receive an order from a client. Developing financial products more adapted to the specific needs of exporters could help them to consolidate their market position, and for the most productive ones to expand.</w:t>
      </w:r>
    </w:p>
    <w:p w:rsidR="00DF4BDD" w:rsidRDefault="00DF4BDD" w:rsidP="00E314F0">
      <w:pPr>
        <w:keepNext w:val="0"/>
        <w:widowControl w:val="0"/>
      </w:pPr>
    </w:p>
    <w:p w:rsidR="00DF4BDD" w:rsidRDefault="00DF4BDD" w:rsidP="00E314F0">
      <w:pPr>
        <w:keepNext w:val="0"/>
        <w:widowControl w:val="0"/>
      </w:pPr>
    </w:p>
    <w:p w:rsidR="00DF4BDD" w:rsidRDefault="00DF4BDD" w:rsidP="00E314F0">
      <w:pPr>
        <w:keepNext w:val="0"/>
        <w:widowControl w:val="0"/>
      </w:pPr>
    </w:p>
    <w:p w:rsidR="00DF4BDD" w:rsidRDefault="00DF4BDD" w:rsidP="00E314F0">
      <w:pPr>
        <w:keepNext w:val="0"/>
        <w:widowControl w:val="0"/>
      </w:pPr>
    </w:p>
    <w:p w:rsidR="00DF4BDD" w:rsidRDefault="00DF4BDD" w:rsidP="00E314F0">
      <w:pPr>
        <w:keepNext w:val="0"/>
        <w:widowControl w:val="0"/>
      </w:pPr>
    </w:p>
    <w:p w:rsidR="00DF4BDD" w:rsidRDefault="00DF4BDD" w:rsidP="00E314F0">
      <w:pPr>
        <w:keepNext w:val="0"/>
        <w:widowControl w:val="0"/>
      </w:pPr>
    </w:p>
    <w:p w:rsidR="00DF4BDD" w:rsidRDefault="00DF4BDD" w:rsidP="00E314F0">
      <w:pPr>
        <w:keepNext w:val="0"/>
        <w:widowControl w:val="0"/>
      </w:pPr>
    </w:p>
    <w:p w:rsidR="00DF4BDD" w:rsidRDefault="00DF4BDD" w:rsidP="00E314F0">
      <w:pPr>
        <w:keepNext w:val="0"/>
        <w:widowControl w:val="0"/>
      </w:pPr>
    </w:p>
    <w:p w:rsidR="00DF4BDD" w:rsidRDefault="00DF4BDD" w:rsidP="00E314F0">
      <w:pPr>
        <w:keepNext w:val="0"/>
        <w:widowControl w:val="0"/>
      </w:pPr>
    </w:p>
    <w:p w:rsidR="00672BE9" w:rsidRDefault="00672BE9" w:rsidP="00E314F0">
      <w:pPr>
        <w:keepNext w:val="0"/>
        <w:widowControl w:val="0"/>
      </w:pPr>
    </w:p>
    <w:p w:rsidR="00672BE9" w:rsidRDefault="00672BE9" w:rsidP="00E314F0">
      <w:pPr>
        <w:keepNext w:val="0"/>
        <w:widowControl w:val="0"/>
      </w:pPr>
    </w:p>
    <w:p w:rsidR="00672BE9" w:rsidRDefault="00672BE9" w:rsidP="00E314F0">
      <w:pPr>
        <w:keepNext w:val="0"/>
        <w:widowControl w:val="0"/>
      </w:pPr>
    </w:p>
    <w:p w:rsidR="00672BE9" w:rsidRDefault="00672BE9" w:rsidP="00E314F0">
      <w:pPr>
        <w:keepNext w:val="0"/>
        <w:widowControl w:val="0"/>
      </w:pPr>
    </w:p>
    <w:p w:rsidR="00672BE9" w:rsidRDefault="00672BE9" w:rsidP="00E314F0">
      <w:pPr>
        <w:keepNext w:val="0"/>
        <w:widowControl w:val="0"/>
      </w:pPr>
    </w:p>
    <w:p w:rsidR="00DF4BDD" w:rsidRDefault="00DF4BDD" w:rsidP="00E314F0">
      <w:pPr>
        <w:keepNext w:val="0"/>
        <w:widowControl w:val="0"/>
      </w:pPr>
    </w:p>
    <w:p w:rsidR="00622D43" w:rsidRPr="00622D43" w:rsidRDefault="00E123C6" w:rsidP="00FD39BA">
      <w:pPr>
        <w:pStyle w:val="Style1"/>
        <w:rPr>
          <w:rFonts w:ascii="Times New Roman" w:hAnsi="Times New Roman" w:cs="Times New Roman"/>
        </w:rPr>
      </w:pPr>
      <w:bookmarkStart w:id="45" w:name="_Toc303332505"/>
      <w:bookmarkStart w:id="46" w:name="_Toc305445920"/>
      <w:r>
        <w:lastRenderedPageBreak/>
        <w:t>References</w:t>
      </w:r>
      <w:bookmarkEnd w:id="45"/>
      <w:bookmarkEnd w:id="46"/>
    </w:p>
    <w:p w:rsidR="001B11E1" w:rsidRDefault="001B11E1" w:rsidP="001B11E1">
      <w:pPr>
        <w:keepNext w:val="0"/>
        <w:autoSpaceDE w:val="0"/>
        <w:autoSpaceDN w:val="0"/>
        <w:adjustRightInd w:val="0"/>
        <w:spacing w:after="0" w:line="240" w:lineRule="auto"/>
        <w:jc w:val="left"/>
        <w:rPr>
          <w:rFonts w:ascii="TimesNewRomanPSMT" w:hAnsi="TimesNewRomanPSMT" w:cs="TimesNewRomanPSMT"/>
          <w:bCs w:val="0"/>
          <w:szCs w:val="22"/>
          <w:lang w:val="en-GB"/>
        </w:rPr>
      </w:pPr>
      <w:r>
        <w:rPr>
          <w:rFonts w:ascii="TimesNewRomanPSMT" w:hAnsi="TimesNewRomanPSMT" w:cs="TimesNewRomanPSMT"/>
          <w:bCs w:val="0"/>
          <w:szCs w:val="22"/>
          <w:lang w:val="en-GB"/>
        </w:rPr>
        <w:t xml:space="preserve">Alvarez, R., H. </w:t>
      </w:r>
      <w:proofErr w:type="spellStart"/>
      <w:r>
        <w:rPr>
          <w:rFonts w:ascii="TimesNewRomanPSMT" w:hAnsi="TimesNewRomanPSMT" w:cs="TimesNewRomanPSMT"/>
          <w:bCs w:val="0"/>
          <w:szCs w:val="22"/>
          <w:lang w:val="en-GB"/>
        </w:rPr>
        <w:t>Faruq</w:t>
      </w:r>
      <w:proofErr w:type="spellEnd"/>
      <w:r>
        <w:rPr>
          <w:rFonts w:ascii="TimesNewRomanPSMT" w:hAnsi="TimesNewRomanPSMT" w:cs="TimesNewRomanPSMT"/>
          <w:bCs w:val="0"/>
          <w:szCs w:val="22"/>
          <w:lang w:val="en-GB"/>
        </w:rPr>
        <w:t xml:space="preserve"> and R. Lopez (2007). “New Products in Export Markets: Learning from </w:t>
      </w:r>
      <w:proofErr w:type="spellStart"/>
      <w:r>
        <w:rPr>
          <w:rFonts w:ascii="TimesNewRomanPSMT" w:hAnsi="TimesNewRomanPSMT" w:cs="TimesNewRomanPSMT"/>
          <w:bCs w:val="0"/>
          <w:szCs w:val="22"/>
          <w:lang w:val="en-GB"/>
        </w:rPr>
        <w:t>Experienceand</w:t>
      </w:r>
      <w:proofErr w:type="spellEnd"/>
      <w:r>
        <w:rPr>
          <w:rFonts w:ascii="TimesNewRomanPSMT" w:hAnsi="TimesNewRomanPSMT" w:cs="TimesNewRomanPSMT"/>
          <w:bCs w:val="0"/>
          <w:szCs w:val="22"/>
          <w:lang w:val="en-GB"/>
        </w:rPr>
        <w:t xml:space="preserve"> Learning from Others”, mimeo.</w:t>
      </w:r>
    </w:p>
    <w:p w:rsidR="001B11E1" w:rsidRDefault="001B11E1" w:rsidP="001B11E1">
      <w:pPr>
        <w:keepNext w:val="0"/>
        <w:autoSpaceDE w:val="0"/>
        <w:autoSpaceDN w:val="0"/>
        <w:adjustRightInd w:val="0"/>
        <w:spacing w:after="0" w:line="240" w:lineRule="auto"/>
        <w:jc w:val="left"/>
        <w:rPr>
          <w:rFonts w:ascii="TimesNewRomanPSMT" w:hAnsi="TimesNewRomanPSMT" w:cs="TimesNewRomanPSMT"/>
          <w:bCs w:val="0"/>
          <w:szCs w:val="22"/>
          <w:lang w:val="en-GB"/>
        </w:rPr>
      </w:pPr>
    </w:p>
    <w:p w:rsidR="001B11E1" w:rsidRDefault="001B11E1" w:rsidP="001B11E1">
      <w:pPr>
        <w:keepNext w:val="0"/>
        <w:autoSpaceDE w:val="0"/>
        <w:autoSpaceDN w:val="0"/>
        <w:adjustRightInd w:val="0"/>
        <w:spacing w:after="0" w:line="240" w:lineRule="auto"/>
        <w:jc w:val="left"/>
        <w:rPr>
          <w:rFonts w:ascii="TimesNewRomanPSMT" w:hAnsi="TimesNewRomanPSMT" w:cs="TimesNewRomanPSMT"/>
          <w:bCs w:val="0"/>
          <w:szCs w:val="22"/>
          <w:lang w:val="en-GB"/>
        </w:rPr>
      </w:pPr>
      <w:r w:rsidRPr="001B11E1">
        <w:rPr>
          <w:rFonts w:ascii="TimesNewRomanPSMT" w:hAnsi="TimesNewRomanPSMT" w:cs="TimesNewRomanPSMT"/>
          <w:bCs w:val="0"/>
          <w:szCs w:val="22"/>
          <w:lang w:val="es-ES"/>
        </w:rPr>
        <w:t xml:space="preserve">Albornoz, F., E. </w:t>
      </w:r>
      <w:proofErr w:type="spellStart"/>
      <w:r w:rsidRPr="001B11E1">
        <w:rPr>
          <w:rFonts w:ascii="TimesNewRomanPSMT" w:hAnsi="TimesNewRomanPSMT" w:cs="TimesNewRomanPSMT"/>
          <w:bCs w:val="0"/>
          <w:szCs w:val="22"/>
          <w:lang w:val="es-ES"/>
        </w:rPr>
        <w:t>Ornelas</w:t>
      </w:r>
      <w:proofErr w:type="spellEnd"/>
      <w:r w:rsidRPr="001B11E1">
        <w:rPr>
          <w:rFonts w:ascii="TimesNewRomanPSMT" w:hAnsi="TimesNewRomanPSMT" w:cs="TimesNewRomanPSMT"/>
          <w:bCs w:val="0"/>
          <w:szCs w:val="22"/>
          <w:lang w:val="es-ES"/>
        </w:rPr>
        <w:t xml:space="preserve">, H. Calvo Pardo and G. </w:t>
      </w:r>
      <w:proofErr w:type="spellStart"/>
      <w:r w:rsidRPr="001B11E1">
        <w:rPr>
          <w:rFonts w:ascii="TimesNewRomanPSMT" w:hAnsi="TimesNewRomanPSMT" w:cs="TimesNewRomanPSMT"/>
          <w:bCs w:val="0"/>
          <w:szCs w:val="22"/>
          <w:lang w:val="es-ES"/>
        </w:rPr>
        <w:t>Corcos</w:t>
      </w:r>
      <w:proofErr w:type="spellEnd"/>
      <w:r w:rsidRPr="001B11E1">
        <w:rPr>
          <w:rFonts w:ascii="TimesNewRomanPSMT" w:hAnsi="TimesNewRomanPSMT" w:cs="TimesNewRomanPSMT"/>
          <w:bCs w:val="0"/>
          <w:szCs w:val="22"/>
          <w:lang w:val="es-ES"/>
        </w:rPr>
        <w:t xml:space="preserve"> (2009). </w:t>
      </w:r>
      <w:r>
        <w:rPr>
          <w:rFonts w:ascii="TimesNewRomanPSMT" w:hAnsi="TimesNewRomanPSMT" w:cs="TimesNewRomanPSMT"/>
          <w:bCs w:val="0"/>
          <w:szCs w:val="22"/>
          <w:lang w:val="en-GB"/>
        </w:rPr>
        <w:t>“Sequential Exporting”, London School of Economics, mimeo.</w:t>
      </w:r>
    </w:p>
    <w:p w:rsidR="001B11E1" w:rsidRDefault="001B11E1" w:rsidP="001B11E1">
      <w:pPr>
        <w:keepNext w:val="0"/>
        <w:autoSpaceDE w:val="0"/>
        <w:autoSpaceDN w:val="0"/>
        <w:adjustRightInd w:val="0"/>
        <w:spacing w:after="0" w:line="240" w:lineRule="auto"/>
        <w:jc w:val="left"/>
        <w:rPr>
          <w:rFonts w:ascii="TimesNewRomanPSMT" w:hAnsi="TimesNewRomanPSMT" w:cs="TimesNewRomanPSMT"/>
          <w:bCs w:val="0"/>
          <w:szCs w:val="22"/>
          <w:lang w:val="en-GB"/>
        </w:rPr>
      </w:pPr>
    </w:p>
    <w:p w:rsidR="001B11E1" w:rsidRDefault="001B11E1" w:rsidP="001B11E1">
      <w:pPr>
        <w:keepNext w:val="0"/>
        <w:autoSpaceDE w:val="0"/>
        <w:autoSpaceDN w:val="0"/>
        <w:adjustRightInd w:val="0"/>
        <w:spacing w:after="0" w:line="240" w:lineRule="auto"/>
        <w:jc w:val="left"/>
        <w:rPr>
          <w:rFonts w:ascii="TimesNewRomanPSMT" w:hAnsi="TimesNewRomanPSMT" w:cs="TimesNewRomanPSMT"/>
          <w:bCs w:val="0"/>
          <w:szCs w:val="22"/>
          <w:lang w:val="en-GB"/>
        </w:rPr>
      </w:pPr>
      <w:proofErr w:type="spellStart"/>
      <w:r>
        <w:rPr>
          <w:rFonts w:ascii="TimesNewRomanPSMT" w:hAnsi="TimesNewRomanPSMT" w:cs="TimesNewRomanPSMT"/>
          <w:bCs w:val="0"/>
          <w:szCs w:val="22"/>
          <w:lang w:val="en-GB"/>
        </w:rPr>
        <w:t>Amurgo</w:t>
      </w:r>
      <w:proofErr w:type="spellEnd"/>
      <w:r>
        <w:rPr>
          <w:rFonts w:ascii="TimesNewRomanPSMT" w:hAnsi="TimesNewRomanPSMT" w:cs="TimesNewRomanPSMT"/>
          <w:bCs w:val="0"/>
          <w:szCs w:val="22"/>
          <w:lang w:val="en-GB"/>
        </w:rPr>
        <w:t xml:space="preserve">, A. and M.D. </w:t>
      </w:r>
      <w:proofErr w:type="spellStart"/>
      <w:r>
        <w:rPr>
          <w:rFonts w:ascii="TimesNewRomanPSMT" w:hAnsi="TimesNewRomanPSMT" w:cs="TimesNewRomanPSMT"/>
          <w:bCs w:val="0"/>
          <w:szCs w:val="22"/>
          <w:lang w:val="en-GB"/>
        </w:rPr>
        <w:t>Pierola</w:t>
      </w:r>
      <w:proofErr w:type="spellEnd"/>
      <w:r>
        <w:rPr>
          <w:rFonts w:ascii="TimesNewRomanPSMT" w:hAnsi="TimesNewRomanPSMT" w:cs="TimesNewRomanPSMT"/>
          <w:bCs w:val="0"/>
          <w:szCs w:val="22"/>
          <w:lang w:val="en-GB"/>
        </w:rPr>
        <w:t xml:space="preserve"> (2008). “Patterns of export diversification in developing countries :</w:t>
      </w:r>
    </w:p>
    <w:p w:rsidR="001B11E1" w:rsidRDefault="001B11E1" w:rsidP="001B11E1">
      <w:pPr>
        <w:keepNext w:val="0"/>
        <w:widowControl w:val="0"/>
      </w:pPr>
      <w:r>
        <w:rPr>
          <w:rFonts w:ascii="TimesNewRomanPSMT" w:hAnsi="TimesNewRomanPSMT" w:cs="TimesNewRomanPSMT"/>
          <w:bCs w:val="0"/>
          <w:szCs w:val="22"/>
          <w:lang w:val="en-GB"/>
        </w:rPr>
        <w:t>intensive and extensive margins”, Policy Research Working Paper Series 4473, The World Bank.</w:t>
      </w:r>
    </w:p>
    <w:p w:rsidR="00982491" w:rsidRDefault="00982491" w:rsidP="00A44F10">
      <w:pPr>
        <w:keepNext w:val="0"/>
        <w:widowControl w:val="0"/>
      </w:pPr>
      <w:r w:rsidRPr="00811BF3">
        <w:t>Al-</w:t>
      </w:r>
      <w:proofErr w:type="spellStart"/>
      <w:r w:rsidRPr="00811BF3">
        <w:t>Marhubi</w:t>
      </w:r>
      <w:proofErr w:type="spellEnd"/>
      <w:r w:rsidRPr="00811BF3">
        <w:t>, F. (2000). “Export Diversification and Growth: An Empirical Investigation.” Applied Economics Letters 7: 559–62.</w:t>
      </w:r>
    </w:p>
    <w:p w:rsidR="00756A9B" w:rsidRDefault="00756A9B" w:rsidP="00A44F10">
      <w:pPr>
        <w:keepNext w:val="0"/>
        <w:widowControl w:val="0"/>
      </w:pPr>
      <w:r>
        <w:t xml:space="preserve">Amador J. and L. D. </w:t>
      </w:r>
      <w:proofErr w:type="spellStart"/>
      <w:r>
        <w:t>Opromolla</w:t>
      </w:r>
      <w:proofErr w:type="spellEnd"/>
      <w:r>
        <w:t xml:space="preserve"> (2010). “The margins of exports: firms, products and destinations.” </w:t>
      </w:r>
      <w:r w:rsidRPr="00400E33">
        <w:t xml:space="preserve">Economic Bulletin and Financial Stability Report Articles, </w:t>
      </w:r>
      <w:proofErr w:type="spellStart"/>
      <w:r w:rsidRPr="00400E33">
        <w:t>Banco</w:t>
      </w:r>
      <w:proofErr w:type="spellEnd"/>
      <w:r w:rsidRPr="00400E33">
        <w:t xml:space="preserve"> de Portugal, Economics and Research Department.</w:t>
      </w:r>
    </w:p>
    <w:p w:rsidR="00284DC2" w:rsidRDefault="00501A1D" w:rsidP="00A44F10">
      <w:pPr>
        <w:keepNext w:val="0"/>
        <w:widowControl w:val="0"/>
      </w:pPr>
      <w:r>
        <w:t>Bernard, A., B. Jensen, S.</w:t>
      </w:r>
      <w:r w:rsidR="0017344D">
        <w:t xml:space="preserve"> Redding and P.</w:t>
      </w:r>
      <w:r>
        <w:t xml:space="preserve"> </w:t>
      </w:r>
      <w:r w:rsidR="00D238E8" w:rsidRPr="00D238E8">
        <w:t>Schott (2007)</w:t>
      </w:r>
      <w:r w:rsidR="0017344D">
        <w:t>. “</w:t>
      </w:r>
      <w:r w:rsidR="00D238E8" w:rsidRPr="00D238E8">
        <w:t>Firms in International Trade</w:t>
      </w:r>
      <w:r w:rsidR="0017344D">
        <w:t>.”</w:t>
      </w:r>
      <w:r w:rsidR="0017344D">
        <w:rPr>
          <w:rFonts w:cs="Times New Roman"/>
        </w:rPr>
        <w:t xml:space="preserve"> </w:t>
      </w:r>
      <w:r w:rsidR="00D238E8" w:rsidRPr="00D238E8">
        <w:t>Journal of Economic Perspectives, 21(3), 105-130.</w:t>
      </w:r>
    </w:p>
    <w:p w:rsidR="007B0F56" w:rsidRDefault="007B0F56" w:rsidP="00A44F10">
      <w:pPr>
        <w:keepNext w:val="0"/>
        <w:widowControl w:val="0"/>
      </w:pPr>
      <w:r>
        <w:t>Bernard A., S</w:t>
      </w:r>
      <w:r w:rsidR="00501A1D">
        <w:t>.</w:t>
      </w:r>
      <w:r w:rsidR="004212D1">
        <w:t xml:space="preserve"> Redding and P. Schott (2010</w:t>
      </w:r>
      <w:r>
        <w:t>). "Multi-Product</w:t>
      </w:r>
      <w:r w:rsidR="004212D1">
        <w:t xml:space="preserve"> Firms and Trade Liberalization.</w:t>
      </w:r>
      <w:r>
        <w:t>"</w:t>
      </w:r>
      <w:r w:rsidR="004212D1">
        <w:t xml:space="preserve"> mimeo</w:t>
      </w:r>
      <w:r>
        <w:t>.</w:t>
      </w:r>
    </w:p>
    <w:p w:rsidR="00622D43" w:rsidRPr="001B04FA" w:rsidRDefault="00622D43" w:rsidP="00A44F10">
      <w:pPr>
        <w:keepNext w:val="0"/>
        <w:widowControl w:val="0"/>
      </w:pPr>
      <w:proofErr w:type="spellStart"/>
      <w:r w:rsidRPr="001B04FA">
        <w:t>Besedes</w:t>
      </w:r>
      <w:proofErr w:type="spellEnd"/>
      <w:r>
        <w:t>,</w:t>
      </w:r>
      <w:r w:rsidRPr="001B04FA">
        <w:t xml:space="preserve"> T. and </w:t>
      </w:r>
      <w:r>
        <w:t xml:space="preserve">T. </w:t>
      </w:r>
      <w:proofErr w:type="spellStart"/>
      <w:r w:rsidRPr="001B04FA">
        <w:t>Prusa</w:t>
      </w:r>
      <w:proofErr w:type="spellEnd"/>
      <w:r w:rsidRPr="001B04FA">
        <w:t xml:space="preserve"> (2007)</w:t>
      </w:r>
      <w:r>
        <w:t>. “</w:t>
      </w:r>
      <w:r w:rsidRPr="001B04FA">
        <w:t>The Role of Extensive and Inte</w:t>
      </w:r>
      <w:r>
        <w:t>nsive Margins and Export Growth.”</w:t>
      </w:r>
      <w:r w:rsidRPr="001B04FA">
        <w:t xml:space="preserve"> NBER Working Papers 13628, National Bureau of Economic Research</w:t>
      </w:r>
      <w:r>
        <w:t>.</w:t>
      </w:r>
    </w:p>
    <w:p w:rsidR="00622D43" w:rsidRDefault="00622D43" w:rsidP="00A44F10">
      <w:pPr>
        <w:keepNext w:val="0"/>
        <w:widowControl w:val="0"/>
        <w:rPr>
          <w:lang w:val="en-GB"/>
        </w:rPr>
      </w:pPr>
      <w:proofErr w:type="spellStart"/>
      <w:r w:rsidRPr="001B04FA">
        <w:t>Be</w:t>
      </w:r>
      <w:r>
        <w:t>sedes</w:t>
      </w:r>
      <w:proofErr w:type="spellEnd"/>
      <w:r>
        <w:t xml:space="preserve">, T. and T. J. </w:t>
      </w:r>
      <w:proofErr w:type="spellStart"/>
      <w:r>
        <w:t>Prusa</w:t>
      </w:r>
      <w:proofErr w:type="spellEnd"/>
      <w:r>
        <w:t xml:space="preserve"> (2006). “</w:t>
      </w:r>
      <w:r w:rsidRPr="001B04FA">
        <w:t>Ins, Outs, and the Durati</w:t>
      </w:r>
      <w:r>
        <w:t>on of Trade.”</w:t>
      </w:r>
      <w:r w:rsidRPr="001B04FA">
        <w:t xml:space="preserve"> Canadian Journal of Economics, 39(1): 266-295.</w:t>
      </w:r>
    </w:p>
    <w:p w:rsidR="00EB4966" w:rsidRDefault="00EB4966" w:rsidP="00A44F10">
      <w:pPr>
        <w:keepNext w:val="0"/>
        <w:widowControl w:val="0"/>
        <w:rPr>
          <w:lang w:val="en-GB"/>
        </w:rPr>
      </w:pPr>
      <w:proofErr w:type="spellStart"/>
      <w:r>
        <w:t>Cadot</w:t>
      </w:r>
      <w:proofErr w:type="spellEnd"/>
      <w:r>
        <w:t xml:space="preserve">, O., </w:t>
      </w:r>
      <w:proofErr w:type="spellStart"/>
      <w:r>
        <w:t>Carrére</w:t>
      </w:r>
      <w:proofErr w:type="spellEnd"/>
      <w:r>
        <w:t xml:space="preserve">, C. </w:t>
      </w:r>
      <w:r w:rsidR="00F11321">
        <w:t>and V. Strauss-Kahn (2010).</w:t>
      </w:r>
      <w:r w:rsidRPr="008B5B45">
        <w:t xml:space="preserve"> “Export Diversification: What’s behind the Hump?</w:t>
      </w:r>
      <w:r w:rsidR="00F11321">
        <w:t>”</w:t>
      </w:r>
      <w:r w:rsidRPr="008B5B45">
        <w:t xml:space="preserve"> </w:t>
      </w:r>
      <w:r w:rsidRPr="00EB4966">
        <w:rPr>
          <w:lang w:val="en-GB"/>
        </w:rPr>
        <w:t>Review of Economics and Statistics</w:t>
      </w:r>
      <w:r w:rsidR="006943B2">
        <w:rPr>
          <w:lang w:val="en-GB"/>
        </w:rPr>
        <w:t>.</w:t>
      </w:r>
    </w:p>
    <w:p w:rsidR="00E123C6" w:rsidRPr="00CE022E" w:rsidRDefault="00BB6438" w:rsidP="00A44F10">
      <w:pPr>
        <w:keepNext w:val="0"/>
        <w:widowControl w:val="0"/>
        <w:rPr>
          <w:rFonts w:cs="Times New Roman"/>
        </w:rPr>
      </w:pPr>
      <w:proofErr w:type="spellStart"/>
      <w:r>
        <w:rPr>
          <w:lang w:val="en-GB"/>
        </w:rPr>
        <w:t>Cadot</w:t>
      </w:r>
      <w:proofErr w:type="spellEnd"/>
      <w:r>
        <w:rPr>
          <w:lang w:val="en-GB"/>
        </w:rPr>
        <w:t xml:space="preserve">, O., L. </w:t>
      </w:r>
      <w:proofErr w:type="spellStart"/>
      <w:r>
        <w:rPr>
          <w:lang w:val="en-GB"/>
        </w:rPr>
        <w:t>Iacovone</w:t>
      </w:r>
      <w:proofErr w:type="spellEnd"/>
      <w:r>
        <w:rPr>
          <w:lang w:val="en-GB"/>
        </w:rPr>
        <w:t xml:space="preserve">, F. Rauch and D. </w:t>
      </w:r>
      <w:proofErr w:type="spellStart"/>
      <w:r>
        <w:rPr>
          <w:lang w:val="en-GB"/>
        </w:rPr>
        <w:t>Pierola</w:t>
      </w:r>
      <w:proofErr w:type="spellEnd"/>
      <w:r>
        <w:rPr>
          <w:lang w:val="en-GB"/>
        </w:rPr>
        <w:t xml:space="preserve"> (2010). “Success and failure of African exporters.” Mimeo.</w:t>
      </w:r>
    </w:p>
    <w:p w:rsidR="00F0460E" w:rsidRDefault="00F0460E" w:rsidP="00A44F10">
      <w:pPr>
        <w:keepNext w:val="0"/>
        <w:widowControl w:val="0"/>
        <w:rPr>
          <w:lang w:val="en-GB"/>
        </w:rPr>
      </w:pPr>
      <w:r>
        <w:rPr>
          <w:lang w:val="en-GB"/>
        </w:rPr>
        <w:t xml:space="preserve">Collier, P. and A. </w:t>
      </w:r>
      <w:proofErr w:type="spellStart"/>
      <w:r>
        <w:rPr>
          <w:lang w:val="en-GB"/>
        </w:rPr>
        <w:t>Hoeffler</w:t>
      </w:r>
      <w:proofErr w:type="spellEnd"/>
      <w:r>
        <w:rPr>
          <w:lang w:val="en-GB"/>
        </w:rPr>
        <w:t xml:space="preserve"> (2004).</w:t>
      </w:r>
      <w:r w:rsidRPr="00F0460E">
        <w:rPr>
          <w:lang w:val="en-GB"/>
        </w:rPr>
        <w:t xml:space="preserve"> “Gr</w:t>
      </w:r>
      <w:r w:rsidR="006F4CEE">
        <w:rPr>
          <w:lang w:val="en-GB"/>
        </w:rPr>
        <w:t>eed and Grievance in Civil Wars.</w:t>
      </w:r>
      <w:r w:rsidRPr="00F0460E">
        <w:rPr>
          <w:lang w:val="en-GB"/>
        </w:rPr>
        <w:t>” Oxford Economic P</w:t>
      </w:r>
      <w:r>
        <w:rPr>
          <w:lang w:val="en-GB"/>
        </w:rPr>
        <w:t xml:space="preserve">apers 56 </w:t>
      </w:r>
      <w:r w:rsidRPr="00F0460E">
        <w:rPr>
          <w:lang w:val="en-GB"/>
        </w:rPr>
        <w:t>(2004), 563-595.</w:t>
      </w:r>
    </w:p>
    <w:p w:rsidR="00DC7C48" w:rsidRDefault="00A674B6" w:rsidP="00A44F10">
      <w:pPr>
        <w:keepNext w:val="0"/>
        <w:widowControl w:val="0"/>
        <w:rPr>
          <w:lang w:val="en-GB"/>
        </w:rPr>
      </w:pPr>
      <w:r>
        <w:rPr>
          <w:lang w:val="en-GB"/>
        </w:rPr>
        <w:t>Frankel, Jeffrey A. (2010). “</w:t>
      </w:r>
      <w:r w:rsidR="00DC7C48" w:rsidRPr="00DC7C48">
        <w:rPr>
          <w:lang w:val="en-GB"/>
        </w:rPr>
        <w:t>The Natural Resou</w:t>
      </w:r>
      <w:r>
        <w:rPr>
          <w:lang w:val="en-GB"/>
        </w:rPr>
        <w:t>rce Curse: A Survey”</w:t>
      </w:r>
      <w:r w:rsidR="00DC7C48" w:rsidRPr="00DC7C48">
        <w:rPr>
          <w:lang w:val="en-GB"/>
        </w:rPr>
        <w:t xml:space="preserve">. NBER Working </w:t>
      </w:r>
      <w:r w:rsidR="00F8688E">
        <w:rPr>
          <w:lang w:val="en-GB"/>
        </w:rPr>
        <w:t xml:space="preserve">Paper Series, N# </w:t>
      </w:r>
      <w:r>
        <w:rPr>
          <w:lang w:val="en-GB"/>
        </w:rPr>
        <w:t>15836.</w:t>
      </w:r>
    </w:p>
    <w:p w:rsidR="00E123C6" w:rsidRDefault="00E350D9" w:rsidP="00A44F10">
      <w:pPr>
        <w:keepNext w:val="0"/>
        <w:widowControl w:val="0"/>
        <w:rPr>
          <w:lang w:val="en-GB"/>
        </w:rPr>
      </w:pPr>
      <w:r>
        <w:rPr>
          <w:lang w:val="en-GB"/>
        </w:rPr>
        <w:t>Eaton,</w:t>
      </w:r>
      <w:r w:rsidRPr="00FA639A">
        <w:rPr>
          <w:lang w:val="en-GB"/>
        </w:rPr>
        <w:t xml:space="preserve"> J., M. </w:t>
      </w:r>
      <w:proofErr w:type="spellStart"/>
      <w:r w:rsidRPr="00FA639A">
        <w:rPr>
          <w:lang w:val="en-GB"/>
        </w:rPr>
        <w:t>Eslava</w:t>
      </w:r>
      <w:proofErr w:type="spellEnd"/>
      <w:r w:rsidRPr="00FA639A">
        <w:rPr>
          <w:lang w:val="en-GB"/>
        </w:rPr>
        <w:t xml:space="preserve">, M. </w:t>
      </w:r>
      <w:proofErr w:type="spellStart"/>
      <w:r w:rsidRPr="00FA639A">
        <w:rPr>
          <w:lang w:val="en-GB"/>
        </w:rPr>
        <w:t>Kugler</w:t>
      </w:r>
      <w:proofErr w:type="spellEnd"/>
      <w:r w:rsidRPr="00FA639A">
        <w:rPr>
          <w:lang w:val="en-GB"/>
        </w:rPr>
        <w:t xml:space="preserve">, and J. </w:t>
      </w:r>
      <w:proofErr w:type="spellStart"/>
      <w:r>
        <w:rPr>
          <w:lang w:val="en-GB"/>
        </w:rPr>
        <w:t>Tybout</w:t>
      </w:r>
      <w:proofErr w:type="spellEnd"/>
      <w:r>
        <w:rPr>
          <w:lang w:val="en-GB"/>
        </w:rPr>
        <w:t xml:space="preserve"> (2007).</w:t>
      </w:r>
      <w:r w:rsidRPr="00FA639A">
        <w:rPr>
          <w:lang w:val="en-GB"/>
        </w:rPr>
        <w:t xml:space="preserve"> “</w:t>
      </w:r>
      <w:r>
        <w:rPr>
          <w:lang w:val="en-GB"/>
        </w:rPr>
        <w:t xml:space="preserve">Export dynamics in Colombia: Firm-level evidence.” NBER Working Papers 13531, </w:t>
      </w:r>
      <w:r w:rsidRPr="00FA639A">
        <w:rPr>
          <w:lang w:val="en-GB"/>
        </w:rPr>
        <w:t xml:space="preserve">National </w:t>
      </w:r>
      <w:r>
        <w:rPr>
          <w:lang w:val="en-GB"/>
        </w:rPr>
        <w:t>Bureau of Economic Research.</w:t>
      </w:r>
    </w:p>
    <w:p w:rsidR="00277890" w:rsidRPr="00277890" w:rsidRDefault="00277890" w:rsidP="00277890">
      <w:r w:rsidRPr="00277890">
        <w:t xml:space="preserve">Haddad, M. E., J. J. Lim, and C. </w:t>
      </w:r>
      <w:proofErr w:type="spellStart"/>
      <w:r w:rsidRPr="00277890">
        <w:t>Saborowski</w:t>
      </w:r>
      <w:proofErr w:type="spellEnd"/>
      <w:r w:rsidRPr="00277890">
        <w:t xml:space="preserve"> (2010). "</w:t>
      </w:r>
      <w:hyperlink r:id="rId17" w:history="1">
        <w:r w:rsidRPr="00277890">
          <w:rPr>
            <w:rStyle w:val="Lienhypertexte"/>
            <w:bCs w:val="0"/>
            <w:color w:val="auto"/>
            <w:u w:val="none"/>
          </w:rPr>
          <w:t>Trade openness reduces growth volatility when countries are well diversified</w:t>
        </w:r>
      </w:hyperlink>
      <w:r w:rsidRPr="00277890">
        <w:t xml:space="preserve">." </w:t>
      </w:r>
      <w:hyperlink r:id="rId18" w:history="1">
        <w:r w:rsidRPr="00277890">
          <w:rPr>
            <w:rStyle w:val="Lienhypertexte"/>
            <w:color w:val="auto"/>
            <w:u w:val="none"/>
          </w:rPr>
          <w:t>Policy Research Working Paper Series</w:t>
        </w:r>
      </w:hyperlink>
      <w:r w:rsidRPr="00277890">
        <w:t xml:space="preserve"> 5222, The World Bank.</w:t>
      </w:r>
    </w:p>
    <w:p w:rsidR="00445762" w:rsidRDefault="00445762" w:rsidP="00A44F10">
      <w:pPr>
        <w:keepNext w:val="0"/>
        <w:widowControl w:val="0"/>
      </w:pPr>
      <w:proofErr w:type="spellStart"/>
      <w:r>
        <w:t>Hau</w:t>
      </w:r>
      <w:r w:rsidR="00B81C1B">
        <w:t>smann</w:t>
      </w:r>
      <w:proofErr w:type="spellEnd"/>
      <w:r w:rsidR="00B81C1B">
        <w:t>, R. and D.</w:t>
      </w:r>
      <w:r>
        <w:t xml:space="preserve"> </w:t>
      </w:r>
      <w:proofErr w:type="spellStart"/>
      <w:r>
        <w:t>Rodrik</w:t>
      </w:r>
      <w:proofErr w:type="spellEnd"/>
      <w:r>
        <w:t xml:space="preserve"> (2003) “Economic Development as Self-Discovery.” Journal of Development Economics 72 (2): 603–33.</w:t>
      </w:r>
    </w:p>
    <w:p w:rsidR="0021014F" w:rsidRDefault="0021014F" w:rsidP="00A44F10">
      <w:pPr>
        <w:keepNext w:val="0"/>
        <w:widowControl w:val="0"/>
      </w:pPr>
      <w:r w:rsidRPr="0021014F">
        <w:t xml:space="preserve">Lane, </w:t>
      </w:r>
      <w:r>
        <w:t xml:space="preserve">P. R. and A. </w:t>
      </w:r>
      <w:proofErr w:type="spellStart"/>
      <w:r>
        <w:t>Tornell</w:t>
      </w:r>
      <w:proofErr w:type="spellEnd"/>
      <w:r>
        <w:t xml:space="preserve"> (1996). “</w:t>
      </w:r>
      <w:r w:rsidRPr="0021014F">
        <w:t>Power, G</w:t>
      </w:r>
      <w:r>
        <w:t>rowth, and the Voracity Effect.”</w:t>
      </w:r>
      <w:r w:rsidRPr="0021014F">
        <w:t xml:space="preserve"> Journal of Economic Growth, Springer, vol. 1(2), pages 213-41, June.</w:t>
      </w:r>
    </w:p>
    <w:p w:rsidR="00C16159" w:rsidRDefault="00C16159" w:rsidP="00C16159">
      <w:pPr>
        <w:keepNext w:val="0"/>
        <w:autoSpaceDE w:val="0"/>
        <w:autoSpaceDN w:val="0"/>
        <w:adjustRightInd w:val="0"/>
        <w:spacing w:after="0"/>
        <w:jc w:val="left"/>
        <w:rPr>
          <w:rFonts w:ascii="TimesNewRomanPSMT" w:hAnsi="TimesNewRomanPSMT" w:cs="TimesNewRomanPSMT"/>
          <w:bCs w:val="0"/>
          <w:szCs w:val="22"/>
          <w:lang w:val="en-GB"/>
        </w:rPr>
      </w:pPr>
      <w:r>
        <w:rPr>
          <w:rFonts w:ascii="TimesNewRomanPSMT" w:hAnsi="TimesNewRomanPSMT" w:cs="TimesNewRomanPSMT"/>
          <w:bCs w:val="0"/>
          <w:szCs w:val="22"/>
          <w:lang w:val="en-GB"/>
        </w:rPr>
        <w:lastRenderedPageBreak/>
        <w:t>Lawless, M. (2009). “Firm export dynamics and the geography of trade”, Journal of International</w:t>
      </w:r>
    </w:p>
    <w:p w:rsidR="00C16159" w:rsidRDefault="00C16159" w:rsidP="00C16159">
      <w:pPr>
        <w:keepNext w:val="0"/>
        <w:autoSpaceDE w:val="0"/>
        <w:autoSpaceDN w:val="0"/>
        <w:adjustRightInd w:val="0"/>
        <w:spacing w:after="0"/>
        <w:jc w:val="left"/>
        <w:rPr>
          <w:rFonts w:ascii="TimesNewRomanPSMT" w:hAnsi="TimesNewRomanPSMT" w:cs="TimesNewRomanPSMT"/>
          <w:bCs w:val="0"/>
          <w:szCs w:val="22"/>
          <w:lang w:val="en-GB"/>
        </w:rPr>
      </w:pPr>
      <w:r>
        <w:rPr>
          <w:rFonts w:ascii="TimesNewRomanPSMT" w:hAnsi="TimesNewRomanPSMT" w:cs="TimesNewRomanPSMT"/>
          <w:bCs w:val="0"/>
          <w:szCs w:val="22"/>
          <w:lang w:val="en-GB"/>
        </w:rPr>
        <w:t>Economics, Elsevier, vol. 77(2), pages 245-254.</w:t>
      </w:r>
    </w:p>
    <w:p w:rsidR="00C16159" w:rsidRDefault="00C16159" w:rsidP="00C16159">
      <w:pPr>
        <w:keepNext w:val="0"/>
        <w:autoSpaceDE w:val="0"/>
        <w:autoSpaceDN w:val="0"/>
        <w:adjustRightInd w:val="0"/>
        <w:spacing w:after="0" w:line="240" w:lineRule="auto"/>
        <w:jc w:val="left"/>
        <w:rPr>
          <w:rFonts w:ascii="TimesNewRomanPSMT" w:hAnsi="TimesNewRomanPSMT" w:cs="TimesNewRomanPSMT"/>
          <w:bCs w:val="0"/>
          <w:szCs w:val="22"/>
          <w:lang w:val="en-GB"/>
        </w:rPr>
      </w:pPr>
    </w:p>
    <w:p w:rsidR="00A03179" w:rsidRDefault="00A03179" w:rsidP="00A44F10">
      <w:pPr>
        <w:keepNext w:val="0"/>
        <w:widowControl w:val="0"/>
      </w:pPr>
      <w:r>
        <w:t xml:space="preserve">Lederman, D., M. </w:t>
      </w:r>
      <w:proofErr w:type="spellStart"/>
      <w:r>
        <w:t>Olarreaga</w:t>
      </w:r>
      <w:proofErr w:type="spellEnd"/>
      <w:r>
        <w:t xml:space="preserve"> and L. Payton (2010). “Export promotion agencies: Do they work?”</w:t>
      </w:r>
      <w:r w:rsidR="00F04EA9">
        <w:t xml:space="preserve"> </w:t>
      </w:r>
      <w:r>
        <w:t>Journal of Development Economics</w:t>
      </w:r>
      <w:r w:rsidR="00F04EA9">
        <w:t>, Volume 91, Issue 2, p</w:t>
      </w:r>
      <w:r>
        <w:t>ages 257-265</w:t>
      </w:r>
      <w:r w:rsidR="00F04EA9">
        <w:t>.</w:t>
      </w:r>
      <w:r>
        <w:t xml:space="preserve"> </w:t>
      </w:r>
    </w:p>
    <w:p w:rsidR="0014240A" w:rsidRDefault="0014240A" w:rsidP="00A44F10">
      <w:pPr>
        <w:keepNext w:val="0"/>
        <w:widowControl w:val="0"/>
      </w:pPr>
      <w:r>
        <w:t>Lederman, D. and</w:t>
      </w:r>
      <w:r w:rsidRPr="0014240A">
        <w:t xml:space="preserve"> </w:t>
      </w:r>
      <w:r>
        <w:t>W. F. Maloney</w:t>
      </w:r>
      <w:r w:rsidRPr="0014240A">
        <w:t xml:space="preserve"> </w:t>
      </w:r>
      <w:r>
        <w:t>(</w:t>
      </w:r>
      <w:r w:rsidRPr="0014240A">
        <w:t>2003</w:t>
      </w:r>
      <w:r>
        <w:t>)</w:t>
      </w:r>
      <w:r w:rsidRPr="0014240A">
        <w:t>. "Trade structure and growth," Policy Research Working Paper Series 3025, The World Bank.</w:t>
      </w:r>
    </w:p>
    <w:p w:rsidR="00C16159" w:rsidRDefault="00C16159" w:rsidP="00C16159">
      <w:pPr>
        <w:keepNext w:val="0"/>
        <w:autoSpaceDE w:val="0"/>
        <w:autoSpaceDN w:val="0"/>
        <w:adjustRightInd w:val="0"/>
        <w:spacing w:after="0"/>
        <w:jc w:val="left"/>
        <w:rPr>
          <w:rFonts w:ascii="TimesNewRomanPSMT" w:hAnsi="TimesNewRomanPSMT" w:cs="TimesNewRomanPSMT"/>
          <w:bCs w:val="0"/>
          <w:szCs w:val="22"/>
          <w:lang w:val="en-GB"/>
        </w:rPr>
      </w:pPr>
      <w:proofErr w:type="spellStart"/>
      <w:r>
        <w:rPr>
          <w:rFonts w:ascii="TimesNewRomanPSMT" w:hAnsi="TimesNewRomanPSMT" w:cs="TimesNewRomanPSMT"/>
          <w:bCs w:val="0"/>
          <w:szCs w:val="22"/>
          <w:lang w:val="en-GB"/>
        </w:rPr>
        <w:t>Melitz</w:t>
      </w:r>
      <w:proofErr w:type="spellEnd"/>
      <w:r>
        <w:rPr>
          <w:rFonts w:ascii="TimesNewRomanPSMT" w:hAnsi="TimesNewRomanPSMT" w:cs="TimesNewRomanPSMT"/>
          <w:bCs w:val="0"/>
          <w:szCs w:val="22"/>
          <w:lang w:val="en-GB"/>
        </w:rPr>
        <w:t xml:space="preserve">, M. and G. I. P. </w:t>
      </w:r>
      <w:proofErr w:type="spellStart"/>
      <w:r>
        <w:rPr>
          <w:rFonts w:ascii="TimesNewRomanPSMT" w:hAnsi="TimesNewRomanPSMT" w:cs="TimesNewRomanPSMT"/>
          <w:bCs w:val="0"/>
          <w:szCs w:val="22"/>
          <w:lang w:val="en-GB"/>
        </w:rPr>
        <w:t>Ottaviano</w:t>
      </w:r>
      <w:proofErr w:type="spellEnd"/>
      <w:r>
        <w:rPr>
          <w:rFonts w:ascii="TimesNewRomanPSMT" w:hAnsi="TimesNewRomanPSMT" w:cs="TimesNewRomanPSMT"/>
          <w:bCs w:val="0"/>
          <w:szCs w:val="22"/>
          <w:lang w:val="en-GB"/>
        </w:rPr>
        <w:t xml:space="preserve"> (2008). “Market Size, Trade, and Productivity”. Review of Economic Studies, vol. 75(1), pages 295-316, 01.</w:t>
      </w:r>
    </w:p>
    <w:p w:rsidR="00C16159" w:rsidRDefault="00C16159" w:rsidP="00C16159">
      <w:pPr>
        <w:keepNext w:val="0"/>
        <w:autoSpaceDE w:val="0"/>
        <w:autoSpaceDN w:val="0"/>
        <w:adjustRightInd w:val="0"/>
        <w:spacing w:after="0"/>
        <w:jc w:val="left"/>
        <w:rPr>
          <w:rFonts w:ascii="TimesNewRomanPSMT" w:hAnsi="TimesNewRomanPSMT" w:cs="TimesNewRomanPSMT"/>
          <w:bCs w:val="0"/>
          <w:szCs w:val="22"/>
          <w:lang w:val="en-GB"/>
        </w:rPr>
      </w:pPr>
    </w:p>
    <w:p w:rsidR="00C16159" w:rsidRDefault="00C16159" w:rsidP="00C16159">
      <w:pPr>
        <w:keepNext w:val="0"/>
        <w:autoSpaceDE w:val="0"/>
        <w:autoSpaceDN w:val="0"/>
        <w:adjustRightInd w:val="0"/>
        <w:spacing w:after="0"/>
        <w:jc w:val="left"/>
        <w:rPr>
          <w:rFonts w:ascii="TimesNewRomanPSMT" w:hAnsi="TimesNewRomanPSMT" w:cs="TimesNewRomanPSMT"/>
          <w:bCs w:val="0"/>
          <w:szCs w:val="22"/>
          <w:lang w:val="en-GB"/>
        </w:rPr>
      </w:pPr>
      <w:proofErr w:type="spellStart"/>
      <w:r>
        <w:rPr>
          <w:rFonts w:ascii="TimesNewRomanPSMT" w:hAnsi="TimesNewRomanPSMT" w:cs="TimesNewRomanPSMT"/>
          <w:bCs w:val="0"/>
          <w:szCs w:val="22"/>
          <w:lang w:val="en-GB"/>
        </w:rPr>
        <w:t>Melitz</w:t>
      </w:r>
      <w:proofErr w:type="spellEnd"/>
      <w:r>
        <w:rPr>
          <w:rFonts w:ascii="TimesNewRomanPSMT" w:hAnsi="TimesNewRomanPSMT" w:cs="TimesNewRomanPSMT"/>
          <w:bCs w:val="0"/>
          <w:szCs w:val="22"/>
          <w:lang w:val="en-GB"/>
        </w:rPr>
        <w:t>, M. (2003). “The Impact of Trade on Intra-Industry Reallocations and Aggregate Industry</w:t>
      </w:r>
    </w:p>
    <w:p w:rsidR="00C16159" w:rsidRPr="00C16159" w:rsidRDefault="00C16159" w:rsidP="00C16159">
      <w:pPr>
        <w:keepNext w:val="0"/>
        <w:widowControl w:val="0"/>
      </w:pPr>
      <w:r>
        <w:rPr>
          <w:rFonts w:ascii="TimesNewRomanPSMT" w:hAnsi="TimesNewRomanPSMT" w:cs="TimesNewRomanPSMT"/>
          <w:bCs w:val="0"/>
          <w:szCs w:val="22"/>
          <w:lang w:val="en-GB"/>
        </w:rPr>
        <w:t xml:space="preserve">Productivity”, </w:t>
      </w:r>
      <w:proofErr w:type="spellStart"/>
      <w:r>
        <w:rPr>
          <w:rFonts w:ascii="TimesNewRomanPSMT" w:hAnsi="TimesNewRomanPSMT" w:cs="TimesNewRomanPSMT"/>
          <w:bCs w:val="0"/>
          <w:szCs w:val="22"/>
          <w:lang w:val="en-GB"/>
        </w:rPr>
        <w:t>Econometrica</w:t>
      </w:r>
      <w:proofErr w:type="spellEnd"/>
      <w:r>
        <w:rPr>
          <w:rFonts w:ascii="TimesNewRomanPSMT" w:hAnsi="TimesNewRomanPSMT" w:cs="TimesNewRomanPSMT"/>
          <w:bCs w:val="0"/>
          <w:szCs w:val="22"/>
          <w:lang w:val="en-GB"/>
        </w:rPr>
        <w:t>, Econometric Society, vol. 71(6), pages 1695-1725.</w:t>
      </w:r>
    </w:p>
    <w:p w:rsidR="00CE022E" w:rsidRPr="00CE022E" w:rsidRDefault="00224198" w:rsidP="00A44F10">
      <w:pPr>
        <w:keepNext w:val="0"/>
        <w:widowControl w:val="0"/>
      </w:pPr>
      <w:r w:rsidRPr="00330502">
        <w:rPr>
          <w:lang w:val="en-GB"/>
        </w:rPr>
        <w:t xml:space="preserve">Molina, A. C. M. </w:t>
      </w:r>
      <w:proofErr w:type="spellStart"/>
      <w:r w:rsidRPr="00330502">
        <w:rPr>
          <w:lang w:val="en-GB"/>
        </w:rPr>
        <w:t>Bussolo</w:t>
      </w:r>
      <w:proofErr w:type="spellEnd"/>
      <w:r w:rsidRPr="00330502">
        <w:rPr>
          <w:lang w:val="en-GB"/>
        </w:rPr>
        <w:t xml:space="preserve"> and L. </w:t>
      </w:r>
      <w:proofErr w:type="spellStart"/>
      <w:r w:rsidRPr="00330502">
        <w:rPr>
          <w:lang w:val="en-GB"/>
        </w:rPr>
        <w:t>Iacovone</w:t>
      </w:r>
      <w:proofErr w:type="spellEnd"/>
      <w:r w:rsidRPr="00330502">
        <w:rPr>
          <w:lang w:val="en-GB"/>
        </w:rPr>
        <w:t xml:space="preserve"> (2010). </w:t>
      </w:r>
      <w:r w:rsidRPr="00224198">
        <w:t>"The DR-CAFTA and the extensive margin : a firm-level analysis," Policy Research Working Paper Series 5340, The World Bank.</w:t>
      </w:r>
    </w:p>
    <w:p w:rsidR="002B31CE" w:rsidRPr="0017096B" w:rsidRDefault="002B31CE" w:rsidP="00A44F10">
      <w:pPr>
        <w:keepNext w:val="0"/>
        <w:widowControl w:val="0"/>
        <w:rPr>
          <w:lang w:val="es-ES"/>
        </w:rPr>
      </w:pPr>
      <w:r w:rsidRPr="003A01F2">
        <w:rPr>
          <w:szCs w:val="22"/>
          <w:lang w:val="it-IT"/>
        </w:rPr>
        <w:t>Nicita</w:t>
      </w:r>
      <w:r>
        <w:rPr>
          <w:szCs w:val="22"/>
          <w:lang w:val="it-IT"/>
        </w:rPr>
        <w:t>,</w:t>
      </w:r>
      <w:r w:rsidRPr="003A01F2">
        <w:rPr>
          <w:szCs w:val="22"/>
          <w:lang w:val="it-IT"/>
        </w:rPr>
        <w:t xml:space="preserve"> A., M. Olarreaga and Soloaga I. (2003). </w:t>
      </w:r>
      <w:r w:rsidRPr="003A01F2">
        <w:rPr>
          <w:szCs w:val="22"/>
          <w:lang w:val="en-GB"/>
        </w:rPr>
        <w:t xml:space="preserve">“The Region as an Export Platform to the World? </w:t>
      </w:r>
      <w:proofErr w:type="spellStart"/>
      <w:r w:rsidRPr="003A01F2">
        <w:rPr>
          <w:szCs w:val="22"/>
          <w:lang w:val="es-ES"/>
        </w:rPr>
        <w:t>The</w:t>
      </w:r>
      <w:proofErr w:type="spellEnd"/>
      <w:r w:rsidRPr="003A01F2">
        <w:rPr>
          <w:szCs w:val="22"/>
          <w:lang w:val="es-ES"/>
        </w:rPr>
        <w:t xml:space="preserve"> Case of Mercosur”, Cuadernos de Economía (</w:t>
      </w:r>
      <w:proofErr w:type="spellStart"/>
      <w:r w:rsidRPr="003A01F2">
        <w:rPr>
          <w:szCs w:val="22"/>
          <w:lang w:val="es-ES"/>
        </w:rPr>
        <w:t>Latin</w:t>
      </w:r>
      <w:proofErr w:type="spellEnd"/>
      <w:r w:rsidRPr="003A01F2">
        <w:rPr>
          <w:szCs w:val="22"/>
          <w:lang w:val="es-ES"/>
        </w:rPr>
        <w:t xml:space="preserve"> American </w:t>
      </w:r>
      <w:proofErr w:type="spellStart"/>
      <w:r w:rsidRPr="003A01F2">
        <w:rPr>
          <w:szCs w:val="22"/>
          <w:lang w:val="es-ES"/>
        </w:rPr>
        <w:t>Journal</w:t>
      </w:r>
      <w:proofErr w:type="spellEnd"/>
      <w:r w:rsidRPr="003A01F2">
        <w:rPr>
          <w:szCs w:val="22"/>
          <w:lang w:val="es-ES"/>
        </w:rPr>
        <w:t xml:space="preserve"> of </w:t>
      </w:r>
      <w:proofErr w:type="spellStart"/>
      <w:r w:rsidRPr="003A01F2">
        <w:rPr>
          <w:szCs w:val="22"/>
          <w:lang w:val="es-ES"/>
        </w:rPr>
        <w:t>Economics</w:t>
      </w:r>
      <w:proofErr w:type="spellEnd"/>
      <w:r w:rsidRPr="003A01F2">
        <w:rPr>
          <w:szCs w:val="22"/>
          <w:lang w:val="es-ES"/>
        </w:rPr>
        <w:t xml:space="preserve">), Instituto de Economía. Pontificia Universidad Católica de Chile., vol. 40(121), </w:t>
      </w:r>
      <w:proofErr w:type="spellStart"/>
      <w:r w:rsidRPr="003A01F2">
        <w:rPr>
          <w:szCs w:val="22"/>
          <w:lang w:val="es-ES"/>
        </w:rPr>
        <w:t>pages</w:t>
      </w:r>
      <w:proofErr w:type="spellEnd"/>
      <w:r w:rsidRPr="003A01F2">
        <w:rPr>
          <w:szCs w:val="22"/>
          <w:lang w:val="es-ES"/>
        </w:rPr>
        <w:t xml:space="preserve"> 442-451.</w:t>
      </w:r>
    </w:p>
    <w:p w:rsidR="00181CA3" w:rsidRPr="00433EF7" w:rsidRDefault="00181CA3" w:rsidP="00A44F10">
      <w:pPr>
        <w:keepNext w:val="0"/>
        <w:widowControl w:val="0"/>
        <w:autoSpaceDE w:val="0"/>
        <w:autoSpaceDN w:val="0"/>
        <w:adjustRightInd w:val="0"/>
        <w:jc w:val="left"/>
        <w:rPr>
          <w:rFonts w:cs="Times New Roman"/>
          <w:bCs w:val="0"/>
          <w:color w:val="000000"/>
          <w:szCs w:val="22"/>
        </w:rPr>
      </w:pPr>
      <w:proofErr w:type="spellStart"/>
      <w:r w:rsidRPr="00433EF7">
        <w:rPr>
          <w:rFonts w:cs="Times New Roman"/>
          <w:bCs w:val="0"/>
          <w:color w:val="000000"/>
          <w:szCs w:val="22"/>
        </w:rPr>
        <w:t>Prebisch</w:t>
      </w:r>
      <w:proofErr w:type="spellEnd"/>
      <w:r w:rsidRPr="00433EF7">
        <w:rPr>
          <w:rFonts w:cs="Times New Roman"/>
          <w:bCs w:val="0"/>
          <w:color w:val="000000"/>
          <w:szCs w:val="22"/>
        </w:rPr>
        <w:t>, Raul (1950) “The Economic Development of Latin America and Its Principal Problems”</w:t>
      </w:r>
      <w:r w:rsidR="008A615B">
        <w:rPr>
          <w:rFonts w:cs="Times New Roman"/>
          <w:bCs w:val="0"/>
          <w:color w:val="000000"/>
          <w:szCs w:val="22"/>
        </w:rPr>
        <w:t xml:space="preserve">. </w:t>
      </w:r>
      <w:r w:rsidR="008A615B" w:rsidRPr="008A615B">
        <w:rPr>
          <w:rFonts w:cs="Times New Roman" w:hint="eastAsia"/>
          <w:color w:val="000000"/>
          <w:szCs w:val="22"/>
        </w:rPr>
        <w:t>United Nations Dept. of Economic Affairs</w:t>
      </w:r>
      <w:r w:rsidRPr="00433EF7">
        <w:rPr>
          <w:rFonts w:cs="Times New Roman"/>
          <w:bCs w:val="0"/>
          <w:color w:val="000000"/>
          <w:szCs w:val="22"/>
        </w:rPr>
        <w:t xml:space="preserve"> (New York).</w:t>
      </w:r>
    </w:p>
    <w:p w:rsidR="003947C2" w:rsidRPr="003947C2" w:rsidRDefault="003947C2" w:rsidP="00A44F10">
      <w:pPr>
        <w:keepNext w:val="0"/>
        <w:widowControl w:val="0"/>
        <w:autoSpaceDE w:val="0"/>
        <w:autoSpaceDN w:val="0"/>
        <w:adjustRightInd w:val="0"/>
        <w:spacing w:after="0" w:line="240" w:lineRule="auto"/>
        <w:jc w:val="left"/>
        <w:rPr>
          <w:rFonts w:cs="Times New Roman"/>
          <w:bCs w:val="0"/>
          <w:szCs w:val="22"/>
        </w:rPr>
      </w:pPr>
      <w:r w:rsidRPr="003947C2">
        <w:rPr>
          <w:rFonts w:cs="Times New Roman"/>
          <w:szCs w:val="22"/>
        </w:rPr>
        <w:t xml:space="preserve">Shepherd, Ben (2010). </w:t>
      </w:r>
      <w:r w:rsidRPr="00433EF7">
        <w:rPr>
          <w:rFonts w:cs="Times New Roman"/>
          <w:bCs w:val="0"/>
          <w:color w:val="000000"/>
          <w:szCs w:val="22"/>
        </w:rPr>
        <w:t>“</w:t>
      </w:r>
      <w:hyperlink r:id="rId19" w:history="1">
        <w:r w:rsidRPr="003947C2">
          <w:rPr>
            <w:rStyle w:val="Lienhypertexte"/>
            <w:rFonts w:cs="Times New Roman"/>
            <w:bCs w:val="0"/>
            <w:color w:val="auto"/>
            <w:szCs w:val="22"/>
            <w:u w:val="none"/>
          </w:rPr>
          <w:t>Geographical Diversification of Developing Country Exports</w:t>
        </w:r>
      </w:hyperlink>
      <w:r>
        <w:rPr>
          <w:rFonts w:cs="Times New Roman"/>
          <w:szCs w:val="22"/>
        </w:rPr>
        <w:t>.</w:t>
      </w:r>
      <w:r w:rsidRPr="00433EF7">
        <w:rPr>
          <w:rFonts w:cs="Times New Roman"/>
          <w:bCs w:val="0"/>
          <w:color w:val="000000"/>
          <w:szCs w:val="22"/>
        </w:rPr>
        <w:t>”</w:t>
      </w:r>
      <w:r w:rsidRPr="003947C2">
        <w:rPr>
          <w:rFonts w:cs="Times New Roman"/>
          <w:szCs w:val="22"/>
        </w:rPr>
        <w:t xml:space="preserve"> </w:t>
      </w:r>
      <w:r>
        <w:rPr>
          <w:rFonts w:cs="Times New Roman"/>
          <w:szCs w:val="22"/>
        </w:rPr>
        <w:t xml:space="preserve"> </w:t>
      </w:r>
      <w:hyperlink r:id="rId20" w:history="1">
        <w:r w:rsidRPr="003947C2">
          <w:rPr>
            <w:rStyle w:val="Lienhypertexte"/>
            <w:rFonts w:cs="Times New Roman"/>
            <w:color w:val="auto"/>
            <w:szCs w:val="22"/>
            <w:u w:val="none"/>
          </w:rPr>
          <w:t>World Development</w:t>
        </w:r>
      </w:hyperlink>
      <w:r w:rsidRPr="003947C2">
        <w:rPr>
          <w:rFonts w:cs="Times New Roman"/>
          <w:szCs w:val="22"/>
        </w:rPr>
        <w:t>, Elsevier, vol. 3</w:t>
      </w:r>
      <w:r>
        <w:rPr>
          <w:rFonts w:cs="Times New Roman"/>
          <w:szCs w:val="22"/>
        </w:rPr>
        <w:t>8(9), pages 1217-1228</w:t>
      </w:r>
      <w:r w:rsidRPr="003947C2">
        <w:rPr>
          <w:rFonts w:cs="Times New Roman"/>
          <w:szCs w:val="22"/>
        </w:rPr>
        <w:t>.</w:t>
      </w:r>
    </w:p>
    <w:p w:rsidR="003947C2" w:rsidRDefault="003947C2" w:rsidP="00A44F10">
      <w:pPr>
        <w:keepNext w:val="0"/>
        <w:widowControl w:val="0"/>
        <w:autoSpaceDE w:val="0"/>
        <w:autoSpaceDN w:val="0"/>
        <w:adjustRightInd w:val="0"/>
        <w:spacing w:after="0" w:line="240" w:lineRule="auto"/>
        <w:jc w:val="left"/>
        <w:rPr>
          <w:rFonts w:cs="Times New Roman"/>
          <w:bCs w:val="0"/>
          <w:szCs w:val="22"/>
        </w:rPr>
      </w:pPr>
    </w:p>
    <w:p w:rsidR="00433EF7" w:rsidRPr="006A1303" w:rsidRDefault="001259F5" w:rsidP="00A44F10">
      <w:pPr>
        <w:keepNext w:val="0"/>
        <w:widowControl w:val="0"/>
        <w:autoSpaceDE w:val="0"/>
        <w:autoSpaceDN w:val="0"/>
        <w:adjustRightInd w:val="0"/>
        <w:spacing w:after="0" w:line="240" w:lineRule="auto"/>
        <w:jc w:val="left"/>
        <w:rPr>
          <w:rFonts w:cs="Times New Roman"/>
          <w:bCs w:val="0"/>
          <w:szCs w:val="22"/>
        </w:rPr>
      </w:pPr>
      <w:r w:rsidRPr="006A1303">
        <w:rPr>
          <w:rFonts w:cs="Times New Roman"/>
          <w:bCs w:val="0"/>
          <w:szCs w:val="22"/>
        </w:rPr>
        <w:t>Singer, Hans W</w:t>
      </w:r>
      <w:r w:rsidR="00685C94" w:rsidRPr="006A1303">
        <w:rPr>
          <w:rFonts w:cs="Times New Roman"/>
          <w:bCs w:val="0"/>
          <w:szCs w:val="22"/>
        </w:rPr>
        <w:t>.</w:t>
      </w:r>
      <w:r w:rsidRPr="006A1303">
        <w:rPr>
          <w:rFonts w:cs="Times New Roman"/>
          <w:bCs w:val="0"/>
          <w:szCs w:val="22"/>
        </w:rPr>
        <w:t xml:space="preserve"> (1950)</w:t>
      </w:r>
      <w:r w:rsidR="00433EF7" w:rsidRPr="006A1303">
        <w:rPr>
          <w:rFonts w:cs="Times New Roman"/>
          <w:bCs w:val="0"/>
          <w:szCs w:val="22"/>
        </w:rPr>
        <w:t xml:space="preserve"> “US Foreign Investment in Underdeveloped Areas: The</w:t>
      </w:r>
      <w:r w:rsidRPr="006A1303">
        <w:rPr>
          <w:rFonts w:cs="Times New Roman"/>
          <w:bCs w:val="0"/>
          <w:szCs w:val="22"/>
        </w:rPr>
        <w:t xml:space="preserve"> </w:t>
      </w:r>
      <w:r w:rsidR="00433EF7" w:rsidRPr="006A1303">
        <w:rPr>
          <w:rFonts w:cs="Times New Roman"/>
          <w:bCs w:val="0"/>
          <w:szCs w:val="22"/>
        </w:rPr>
        <w:t>Distribution of Gains between In</w:t>
      </w:r>
      <w:r w:rsidRPr="006A1303">
        <w:rPr>
          <w:rFonts w:cs="Times New Roman"/>
          <w:bCs w:val="0"/>
          <w:szCs w:val="22"/>
        </w:rPr>
        <w:t>vesting and Borrowing Countries.</w:t>
      </w:r>
      <w:r w:rsidR="00433EF7" w:rsidRPr="006A1303">
        <w:rPr>
          <w:rFonts w:cs="Times New Roman"/>
          <w:bCs w:val="0"/>
          <w:szCs w:val="22"/>
        </w:rPr>
        <w:t xml:space="preserve">” </w:t>
      </w:r>
      <w:r w:rsidR="00433EF7" w:rsidRPr="006A1303">
        <w:rPr>
          <w:rFonts w:cs="Times New Roman"/>
          <w:bCs w:val="0"/>
          <w:iCs/>
          <w:szCs w:val="22"/>
        </w:rPr>
        <w:t>American Economic</w:t>
      </w:r>
      <w:r w:rsidRPr="006A1303">
        <w:rPr>
          <w:rFonts w:cs="Times New Roman"/>
          <w:bCs w:val="0"/>
          <w:szCs w:val="22"/>
        </w:rPr>
        <w:t xml:space="preserve"> </w:t>
      </w:r>
      <w:r w:rsidR="00433EF7" w:rsidRPr="006A1303">
        <w:rPr>
          <w:rFonts w:cs="Times New Roman"/>
          <w:bCs w:val="0"/>
          <w:iCs/>
          <w:szCs w:val="22"/>
        </w:rPr>
        <w:t>Review</w:t>
      </w:r>
      <w:r w:rsidR="00433EF7" w:rsidRPr="006A1303">
        <w:rPr>
          <w:rFonts w:cs="Times New Roman"/>
          <w:bCs w:val="0"/>
          <w:szCs w:val="22"/>
        </w:rPr>
        <w:t>, Papers and Proceedings, 40, May: 473-485</w:t>
      </w:r>
    </w:p>
    <w:p w:rsidR="00EB56E5" w:rsidRPr="006A1303" w:rsidRDefault="00EB56E5" w:rsidP="00A44F10">
      <w:pPr>
        <w:keepNext w:val="0"/>
        <w:widowControl w:val="0"/>
        <w:autoSpaceDE w:val="0"/>
        <w:autoSpaceDN w:val="0"/>
        <w:adjustRightInd w:val="0"/>
        <w:spacing w:after="0" w:line="240" w:lineRule="auto"/>
        <w:jc w:val="left"/>
        <w:rPr>
          <w:rFonts w:cs="Times New Roman"/>
          <w:bCs w:val="0"/>
          <w:szCs w:val="22"/>
        </w:rPr>
      </w:pPr>
    </w:p>
    <w:p w:rsidR="00A9048A" w:rsidRDefault="00A9048A" w:rsidP="00A44F10">
      <w:pPr>
        <w:keepNext w:val="0"/>
        <w:widowControl w:val="0"/>
        <w:autoSpaceDE w:val="0"/>
        <w:autoSpaceDN w:val="0"/>
        <w:adjustRightInd w:val="0"/>
        <w:jc w:val="left"/>
        <w:rPr>
          <w:rFonts w:cs="Times New Roman"/>
          <w:bCs w:val="0"/>
          <w:color w:val="000000"/>
          <w:szCs w:val="22"/>
        </w:rPr>
      </w:pPr>
      <w:r>
        <w:rPr>
          <w:rFonts w:cs="Times New Roman"/>
          <w:bCs w:val="0"/>
          <w:color w:val="000000"/>
          <w:szCs w:val="22"/>
        </w:rPr>
        <w:t>Volpe, C. and</w:t>
      </w:r>
      <w:r w:rsidR="00585EC8">
        <w:rPr>
          <w:rFonts w:cs="Times New Roman"/>
          <w:bCs w:val="0"/>
          <w:color w:val="000000"/>
          <w:szCs w:val="22"/>
        </w:rPr>
        <w:t xml:space="preserve"> J. </w:t>
      </w:r>
      <w:proofErr w:type="spellStart"/>
      <w:r w:rsidR="00585EC8">
        <w:rPr>
          <w:rFonts w:cs="Times New Roman"/>
          <w:bCs w:val="0"/>
          <w:color w:val="000000"/>
          <w:szCs w:val="22"/>
        </w:rPr>
        <w:t>Carballo</w:t>
      </w:r>
      <w:proofErr w:type="spellEnd"/>
      <w:r w:rsidR="00585EC8">
        <w:rPr>
          <w:rFonts w:cs="Times New Roman"/>
          <w:bCs w:val="0"/>
          <w:color w:val="000000"/>
          <w:szCs w:val="22"/>
        </w:rPr>
        <w:t xml:space="preserve"> </w:t>
      </w:r>
      <w:r>
        <w:rPr>
          <w:rFonts w:cs="Times New Roman"/>
          <w:bCs w:val="0"/>
          <w:color w:val="000000"/>
          <w:szCs w:val="22"/>
        </w:rPr>
        <w:t>(2010). "</w:t>
      </w:r>
      <w:r w:rsidRPr="00A9048A">
        <w:rPr>
          <w:rFonts w:cs="Times New Roman"/>
          <w:bCs w:val="0"/>
          <w:color w:val="000000"/>
          <w:szCs w:val="22"/>
        </w:rPr>
        <w:t>Entering new country and product markets: does export promotion help?</w:t>
      </w:r>
      <w:r>
        <w:rPr>
          <w:rFonts w:cs="Times New Roman"/>
          <w:bCs w:val="0"/>
          <w:color w:val="000000"/>
          <w:szCs w:val="22"/>
        </w:rPr>
        <w:t>"</w:t>
      </w:r>
      <w:r w:rsidR="00585EC8">
        <w:rPr>
          <w:rFonts w:cs="Times New Roman"/>
          <w:bCs w:val="0"/>
          <w:color w:val="000000"/>
          <w:szCs w:val="22"/>
        </w:rPr>
        <w:t xml:space="preserve"> </w:t>
      </w:r>
      <w:r w:rsidR="00585EC8" w:rsidRPr="00585EC8">
        <w:rPr>
          <w:rFonts w:cs="Times New Roman"/>
          <w:bCs w:val="0"/>
          <w:color w:val="000000"/>
          <w:szCs w:val="22"/>
        </w:rPr>
        <w:t xml:space="preserve">Review of World </w:t>
      </w:r>
      <w:r w:rsidR="00585EC8" w:rsidRPr="00E44C45">
        <w:rPr>
          <w:rFonts w:cs="Times New Roman"/>
          <w:bCs w:val="0"/>
          <w:szCs w:val="22"/>
        </w:rPr>
        <w:t>Economics</w:t>
      </w:r>
      <w:r w:rsidR="00E44C45" w:rsidRPr="00E44C45">
        <w:rPr>
          <w:rFonts w:cs="Times New Roman"/>
          <w:bCs w:val="0"/>
          <w:szCs w:val="22"/>
        </w:rPr>
        <w:t xml:space="preserve">, </w:t>
      </w:r>
      <w:hyperlink r:id="rId21" w:tooltip="Link to the Issue of this Article" w:history="1">
        <w:r w:rsidR="00E44C45" w:rsidRPr="00E44C45">
          <w:rPr>
            <w:rStyle w:val="Lienhypertexte"/>
            <w:rFonts w:cs="Times New Roman"/>
            <w:color w:val="auto"/>
            <w:szCs w:val="22"/>
            <w:u w:val="none"/>
          </w:rPr>
          <w:t>Volume 146, Number 3</w:t>
        </w:r>
      </w:hyperlink>
      <w:r w:rsidR="00E44C45" w:rsidRPr="00E44C45">
        <w:rPr>
          <w:rFonts w:cs="Times New Roman"/>
          <w:szCs w:val="22"/>
        </w:rPr>
        <w:t>, 437-467</w:t>
      </w:r>
      <w:r w:rsidR="00E44C45">
        <w:rPr>
          <w:rFonts w:cs="Times New Roman"/>
          <w:color w:val="000000"/>
          <w:szCs w:val="22"/>
        </w:rPr>
        <w:t>.</w:t>
      </w:r>
    </w:p>
    <w:p w:rsidR="0007535B" w:rsidRPr="006A1303" w:rsidRDefault="0007535B" w:rsidP="00A44F10">
      <w:pPr>
        <w:keepNext w:val="0"/>
        <w:widowControl w:val="0"/>
        <w:autoSpaceDE w:val="0"/>
        <w:autoSpaceDN w:val="0"/>
        <w:adjustRightInd w:val="0"/>
        <w:jc w:val="left"/>
        <w:rPr>
          <w:rFonts w:cs="Times New Roman"/>
          <w:bCs w:val="0"/>
          <w:color w:val="000000"/>
          <w:szCs w:val="22"/>
        </w:rPr>
      </w:pPr>
      <w:r w:rsidRPr="006A1303">
        <w:rPr>
          <w:rFonts w:cs="Times New Roman"/>
          <w:szCs w:val="22"/>
        </w:rPr>
        <w:br w:type="page"/>
      </w:r>
    </w:p>
    <w:p w:rsidR="00C16DC5" w:rsidRDefault="009331AD" w:rsidP="00115C60">
      <w:pPr>
        <w:pStyle w:val="Style1"/>
        <w:numPr>
          <w:ilvl w:val="0"/>
          <w:numId w:val="0"/>
        </w:numPr>
      </w:pPr>
      <w:bookmarkStart w:id="47" w:name="Appendix8"/>
      <w:bookmarkStart w:id="48" w:name="Appendix1"/>
      <w:bookmarkStart w:id="49" w:name="_Toc303332506"/>
      <w:bookmarkStart w:id="50" w:name="_Toc305445921"/>
      <w:r w:rsidRPr="00874E7D">
        <w:lastRenderedPageBreak/>
        <w:t xml:space="preserve">Appendix </w:t>
      </w:r>
      <w:bookmarkEnd w:id="47"/>
      <w:r w:rsidR="001F0244" w:rsidRPr="00874E7D">
        <w:t>1</w:t>
      </w:r>
      <w:bookmarkEnd w:id="48"/>
      <w:r w:rsidRPr="00874E7D">
        <w:t>: Multi-product and multi-market exporters</w:t>
      </w:r>
      <w:bookmarkEnd w:id="49"/>
      <w:bookmarkEnd w:id="50"/>
    </w:p>
    <w:p w:rsidR="00115C60" w:rsidRDefault="00115C60" w:rsidP="00115C60"/>
    <w:p w:rsidR="00C16DC5" w:rsidRPr="00C16DC5" w:rsidRDefault="0089791E" w:rsidP="00056F60">
      <w:pPr>
        <w:jc w:val="center"/>
      </w:pPr>
      <w:r>
        <w:t>Table 6</w:t>
      </w:r>
      <w:r w:rsidR="000522C4">
        <w:fldChar w:fldCharType="begin"/>
      </w:r>
      <w:r w:rsidR="00C7373C">
        <w:instrText xml:space="preserve"> SEQ Table_6 \* alphabetic </w:instrText>
      </w:r>
      <w:r w:rsidR="000522C4">
        <w:fldChar w:fldCharType="separate"/>
      </w:r>
      <w:r w:rsidR="000610DD">
        <w:rPr>
          <w:noProof/>
        </w:rPr>
        <w:t>a</w:t>
      </w:r>
      <w:r w:rsidR="000522C4">
        <w:rPr>
          <w:noProof/>
        </w:rPr>
        <w:fldChar w:fldCharType="end"/>
      </w:r>
      <w:r w:rsidR="00A74B4A">
        <w:t xml:space="preserve">: </w:t>
      </w:r>
      <w:r w:rsidR="00A74B4A" w:rsidRPr="00A74B4A">
        <w:t>Share of exports by type of firm</w:t>
      </w:r>
      <w:r w:rsidR="009D6A90">
        <w:t xml:space="preserve"> (average over 2005-2008)</w:t>
      </w:r>
    </w:p>
    <w:p w:rsidR="00C16DC5" w:rsidRDefault="00C16DC5" w:rsidP="009F5B84">
      <w:pPr>
        <w:jc w:val="center"/>
      </w:pPr>
      <w:r w:rsidRPr="00C16DC5">
        <w:rPr>
          <w:noProof/>
          <w:lang w:val="fr-CH" w:eastAsia="fr-CH"/>
        </w:rPr>
        <w:drawing>
          <wp:inline distT="0" distB="0" distL="0" distR="0">
            <wp:extent cx="5072400" cy="1645200"/>
            <wp:effectExtent l="0" t="0" r="0" b="0"/>
            <wp:docPr id="1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5072400" cy="1645200"/>
                    </a:xfrm>
                    <a:prstGeom prst="rect">
                      <a:avLst/>
                    </a:prstGeom>
                    <a:noFill/>
                    <a:ln w="9525">
                      <a:noFill/>
                      <a:miter lim="800000"/>
                      <a:headEnd/>
                      <a:tailEnd/>
                    </a:ln>
                  </pic:spPr>
                </pic:pic>
              </a:graphicData>
            </a:graphic>
          </wp:inline>
        </w:drawing>
      </w:r>
    </w:p>
    <w:p w:rsidR="00780BF3" w:rsidRPr="00780BF3" w:rsidRDefault="00780BF3" w:rsidP="00780BF3">
      <w:pPr>
        <w:rPr>
          <w:sz w:val="12"/>
          <w:szCs w:val="12"/>
        </w:rPr>
      </w:pPr>
    </w:p>
    <w:p w:rsidR="00C16DC5" w:rsidRDefault="00C16DC5" w:rsidP="00056F60">
      <w:pPr>
        <w:jc w:val="center"/>
      </w:pPr>
      <w:r>
        <w:t>Table 6</w:t>
      </w:r>
      <w:r w:rsidR="000522C4">
        <w:fldChar w:fldCharType="begin"/>
      </w:r>
      <w:r w:rsidR="00C7373C">
        <w:instrText xml:space="preserve"> SEQ Table_6 \* alphabetic </w:instrText>
      </w:r>
      <w:r w:rsidR="000522C4">
        <w:fldChar w:fldCharType="separate"/>
      </w:r>
      <w:r w:rsidR="000610DD">
        <w:rPr>
          <w:noProof/>
        </w:rPr>
        <w:t>b</w:t>
      </w:r>
      <w:r w:rsidR="000522C4">
        <w:rPr>
          <w:noProof/>
        </w:rPr>
        <w:fldChar w:fldCharType="end"/>
      </w:r>
      <w:r>
        <w:t xml:space="preserve">: </w:t>
      </w:r>
      <w:r w:rsidRPr="00C16DC5">
        <w:t>Share of exporters by type of firm</w:t>
      </w:r>
      <w:r w:rsidR="009D6A90">
        <w:t xml:space="preserve"> (average over 2005-2008)</w:t>
      </w:r>
    </w:p>
    <w:p w:rsidR="00C16DC5" w:rsidRDefault="00C16DC5" w:rsidP="00780BF3">
      <w:pPr>
        <w:jc w:val="center"/>
      </w:pPr>
      <w:r w:rsidRPr="00C16DC5">
        <w:rPr>
          <w:noProof/>
          <w:lang w:val="fr-CH" w:eastAsia="fr-CH"/>
        </w:rPr>
        <w:drawing>
          <wp:inline distT="0" distB="0" distL="0" distR="0">
            <wp:extent cx="5072400" cy="1645200"/>
            <wp:effectExtent l="0" t="0" r="0" b="0"/>
            <wp:docPr id="1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5072400" cy="1645200"/>
                    </a:xfrm>
                    <a:prstGeom prst="rect">
                      <a:avLst/>
                    </a:prstGeom>
                    <a:noFill/>
                    <a:ln w="9525">
                      <a:noFill/>
                      <a:miter lim="800000"/>
                      <a:headEnd/>
                      <a:tailEnd/>
                    </a:ln>
                  </pic:spPr>
                </pic:pic>
              </a:graphicData>
            </a:graphic>
          </wp:inline>
        </w:drawing>
      </w:r>
    </w:p>
    <w:p w:rsidR="00780BF3" w:rsidRDefault="00780BF3" w:rsidP="004F223A">
      <w:pPr>
        <w:pStyle w:val="Style1"/>
        <w:numPr>
          <w:ilvl w:val="0"/>
          <w:numId w:val="0"/>
        </w:numPr>
      </w:pPr>
      <w:bookmarkStart w:id="51" w:name="Appendix9"/>
    </w:p>
    <w:p w:rsidR="002647BA" w:rsidRPr="00B56E8C" w:rsidRDefault="002647BA" w:rsidP="00B56E8C">
      <w:pPr>
        <w:pStyle w:val="Style1"/>
        <w:numPr>
          <w:ilvl w:val="0"/>
          <w:numId w:val="0"/>
        </w:numPr>
        <w:ind w:left="142"/>
      </w:pPr>
      <w:bookmarkStart w:id="52" w:name="Appendix2"/>
      <w:bookmarkStart w:id="53" w:name="_Toc303332507"/>
      <w:bookmarkStart w:id="54" w:name="_Toc305445922"/>
      <w:r w:rsidRPr="002D6C35">
        <w:t>Appe</w:t>
      </w:r>
      <w:r>
        <w:t xml:space="preserve">ndix </w:t>
      </w:r>
      <w:bookmarkEnd w:id="51"/>
      <w:r w:rsidR="001F0244">
        <w:t>2</w:t>
      </w:r>
      <w:bookmarkEnd w:id="52"/>
      <w:r>
        <w:t>: Mali’s trade by type of firm</w:t>
      </w:r>
      <w:bookmarkEnd w:id="53"/>
      <w:bookmarkEnd w:id="54"/>
    </w:p>
    <w:p w:rsidR="00780BF3" w:rsidRDefault="00780BF3" w:rsidP="00B56E8C"/>
    <w:p w:rsidR="002647BA" w:rsidRDefault="002647BA" w:rsidP="00B56E8C">
      <w:pPr>
        <w:jc w:val="center"/>
      </w:pPr>
      <w:r w:rsidRPr="002647BA">
        <w:rPr>
          <w:noProof/>
          <w:lang w:val="fr-CH" w:eastAsia="fr-CH"/>
        </w:rPr>
        <w:drawing>
          <wp:inline distT="0" distB="0" distL="0" distR="0">
            <wp:extent cx="3229200" cy="2361600"/>
            <wp:effectExtent l="0" t="0" r="9525" b="635"/>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3229200" cy="2361600"/>
                    </a:xfrm>
                    <a:prstGeom prst="rect">
                      <a:avLst/>
                    </a:prstGeom>
                    <a:noFill/>
                    <a:ln w="9525">
                      <a:noFill/>
                      <a:miter lim="800000"/>
                      <a:headEnd/>
                      <a:tailEnd/>
                    </a:ln>
                  </pic:spPr>
                </pic:pic>
              </a:graphicData>
            </a:graphic>
          </wp:inline>
        </w:drawing>
      </w:r>
    </w:p>
    <w:p w:rsidR="00651043" w:rsidRPr="00696C67" w:rsidRDefault="00651043" w:rsidP="00696C67">
      <w:pPr>
        <w:pStyle w:val="Style1"/>
        <w:numPr>
          <w:ilvl w:val="0"/>
          <w:numId w:val="0"/>
        </w:numPr>
        <w:ind w:left="142"/>
      </w:pPr>
      <w:bookmarkStart w:id="55" w:name="Appendix10"/>
      <w:bookmarkStart w:id="56" w:name="Appendix3"/>
      <w:bookmarkStart w:id="57" w:name="_Toc295750369"/>
      <w:bookmarkStart w:id="58" w:name="_Toc303332508"/>
      <w:bookmarkStart w:id="59" w:name="_Toc305445923"/>
      <w:r w:rsidRPr="00651043">
        <w:lastRenderedPageBreak/>
        <w:t xml:space="preserve">Appendix </w:t>
      </w:r>
      <w:bookmarkEnd w:id="55"/>
      <w:r>
        <w:t>3</w:t>
      </w:r>
      <w:bookmarkEnd w:id="56"/>
      <w:r w:rsidRPr="00651043">
        <w:t>: Firm-product, firm-market, firm-product-market combinations</w:t>
      </w:r>
      <w:bookmarkEnd w:id="57"/>
      <w:bookmarkEnd w:id="58"/>
      <w:bookmarkEnd w:id="59"/>
      <w:r>
        <w:t xml:space="preserve"> </w:t>
      </w:r>
    </w:p>
    <w:p w:rsidR="00651043" w:rsidRDefault="00651043" w:rsidP="009E744F">
      <w:pPr>
        <w:jc w:val="center"/>
      </w:pPr>
      <w:r w:rsidRPr="00FB2419">
        <w:rPr>
          <w:noProof/>
          <w:lang w:val="fr-CH" w:eastAsia="fr-CH"/>
        </w:rPr>
        <w:drawing>
          <wp:inline distT="0" distB="0" distL="0" distR="0">
            <wp:extent cx="3171600" cy="2322000"/>
            <wp:effectExtent l="0" t="0" r="0" b="0"/>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3171600" cy="2322000"/>
                    </a:xfrm>
                    <a:prstGeom prst="rect">
                      <a:avLst/>
                    </a:prstGeom>
                    <a:noFill/>
                    <a:ln w="9525">
                      <a:noFill/>
                      <a:miter lim="800000"/>
                      <a:headEnd/>
                      <a:tailEnd/>
                    </a:ln>
                  </pic:spPr>
                </pic:pic>
              </a:graphicData>
            </a:graphic>
          </wp:inline>
        </w:drawing>
      </w:r>
    </w:p>
    <w:p w:rsidR="00651043" w:rsidRDefault="00651043" w:rsidP="009E744F">
      <w:pPr>
        <w:jc w:val="center"/>
      </w:pPr>
      <w:r w:rsidRPr="00FB2419">
        <w:rPr>
          <w:noProof/>
          <w:lang w:val="fr-CH" w:eastAsia="fr-CH"/>
        </w:rPr>
        <w:drawing>
          <wp:inline distT="0" distB="0" distL="0" distR="0">
            <wp:extent cx="3171600" cy="2322000"/>
            <wp:effectExtent l="0" t="0" r="0" b="0"/>
            <wp:docPr id="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srcRect/>
                    <a:stretch>
                      <a:fillRect/>
                    </a:stretch>
                  </pic:blipFill>
                  <pic:spPr bwMode="auto">
                    <a:xfrm>
                      <a:off x="0" y="0"/>
                      <a:ext cx="3171600" cy="2322000"/>
                    </a:xfrm>
                    <a:prstGeom prst="rect">
                      <a:avLst/>
                    </a:prstGeom>
                    <a:noFill/>
                    <a:ln w="9525">
                      <a:noFill/>
                      <a:miter lim="800000"/>
                      <a:headEnd/>
                      <a:tailEnd/>
                    </a:ln>
                  </pic:spPr>
                </pic:pic>
              </a:graphicData>
            </a:graphic>
          </wp:inline>
        </w:drawing>
      </w:r>
    </w:p>
    <w:p w:rsidR="00651043" w:rsidRDefault="00651043" w:rsidP="009E744F">
      <w:pPr>
        <w:jc w:val="center"/>
      </w:pPr>
      <w:r>
        <w:rPr>
          <w:noProof/>
          <w:lang w:val="fr-CH" w:eastAsia="fr-CH"/>
        </w:rPr>
        <w:drawing>
          <wp:inline distT="0" distB="0" distL="0" distR="0">
            <wp:extent cx="3171600" cy="2322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srcRect/>
                    <a:stretch>
                      <a:fillRect/>
                    </a:stretch>
                  </pic:blipFill>
                  <pic:spPr bwMode="auto">
                    <a:xfrm>
                      <a:off x="0" y="0"/>
                      <a:ext cx="3171600" cy="2322000"/>
                    </a:xfrm>
                    <a:prstGeom prst="rect">
                      <a:avLst/>
                    </a:prstGeom>
                    <a:noFill/>
                    <a:ln w="9525">
                      <a:noFill/>
                      <a:miter lim="800000"/>
                      <a:headEnd/>
                      <a:tailEnd/>
                    </a:ln>
                  </pic:spPr>
                </pic:pic>
              </a:graphicData>
            </a:graphic>
          </wp:inline>
        </w:drawing>
      </w:r>
    </w:p>
    <w:p w:rsidR="009E744F" w:rsidRDefault="009E744F" w:rsidP="009E744F">
      <w:pPr>
        <w:jc w:val="center"/>
      </w:pPr>
    </w:p>
    <w:p w:rsidR="00E75C71" w:rsidRPr="00E75C71" w:rsidRDefault="00E75C71" w:rsidP="00ED7D9F">
      <w:pPr>
        <w:rPr>
          <w:lang w:val="en-GB"/>
        </w:rPr>
      </w:pPr>
    </w:p>
    <w:sectPr w:rsidR="00E75C71" w:rsidRPr="00E75C71" w:rsidSect="009E1CC2">
      <w:footerReference w:type="default" r:id="rId28"/>
      <w:pgSz w:w="11909" w:h="16834" w:code="9"/>
      <w:pgMar w:top="1411" w:right="1411" w:bottom="1411" w:left="141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FF5" w:rsidRDefault="00704FF5" w:rsidP="00FD39BA">
      <w:r>
        <w:separator/>
      </w:r>
    </w:p>
  </w:endnote>
  <w:endnote w:type="continuationSeparator" w:id="0">
    <w:p w:rsidR="00704FF5" w:rsidRDefault="00704FF5" w:rsidP="00FD39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176158"/>
      <w:docPartObj>
        <w:docPartGallery w:val="Page Numbers (Bottom of Page)"/>
        <w:docPartUnique/>
      </w:docPartObj>
    </w:sdtPr>
    <w:sdtContent>
      <w:p w:rsidR="002424CF" w:rsidRDefault="000522C4">
        <w:pPr>
          <w:pStyle w:val="Pieddepage"/>
          <w:jc w:val="right"/>
        </w:pPr>
        <w:fldSimple w:instr=" PAGE   \* MERGEFORMAT ">
          <w:r w:rsidR="00376E02">
            <w:rPr>
              <w:noProof/>
            </w:rPr>
            <w:t>1</w:t>
          </w:r>
        </w:fldSimple>
      </w:p>
    </w:sdtContent>
  </w:sdt>
  <w:p w:rsidR="002424CF" w:rsidRDefault="002424CF" w:rsidP="00FD39B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FF5" w:rsidRDefault="00704FF5" w:rsidP="0088675B">
      <w:pPr>
        <w:spacing w:after="0"/>
      </w:pPr>
      <w:r>
        <w:separator/>
      </w:r>
    </w:p>
  </w:footnote>
  <w:footnote w:type="continuationSeparator" w:id="0">
    <w:p w:rsidR="00704FF5" w:rsidRPr="00694FE5" w:rsidRDefault="00704FF5" w:rsidP="00694FE5">
      <w:pPr>
        <w:spacing w:after="0"/>
      </w:pPr>
      <w:r>
        <w:separator/>
      </w:r>
    </w:p>
  </w:footnote>
  <w:footnote w:type="continuationNotice" w:id="1">
    <w:p w:rsidR="00704FF5" w:rsidRDefault="00704FF5">
      <w:pPr>
        <w:spacing w:after="0" w:line="240" w:lineRule="auto"/>
      </w:pPr>
    </w:p>
  </w:footnote>
  <w:footnote w:id="2">
    <w:p w:rsidR="002424CF" w:rsidRPr="00E8088C" w:rsidRDefault="002424CF" w:rsidP="00DE58F5">
      <w:pPr>
        <w:pStyle w:val="Notedebasdepage"/>
        <w:rPr>
          <w:szCs w:val="18"/>
        </w:rPr>
      </w:pPr>
      <w:r w:rsidRPr="004F3F3E">
        <w:rPr>
          <w:rStyle w:val="Appelnotedebasdep"/>
        </w:rPr>
        <w:sym w:font="Symbol" w:char="F02A"/>
      </w:r>
      <w:r>
        <w:t xml:space="preserve"> </w:t>
      </w:r>
      <w:proofErr w:type="gramStart"/>
      <w:r>
        <w:rPr>
          <w:szCs w:val="18"/>
        </w:rPr>
        <w:t>World Trade Organization</w:t>
      </w:r>
      <w:r w:rsidRPr="00E8088C">
        <w:rPr>
          <w:szCs w:val="18"/>
        </w:rPr>
        <w:t xml:space="preserve">, </w:t>
      </w:r>
      <w:r>
        <w:rPr>
          <w:szCs w:val="18"/>
        </w:rPr>
        <w:t>Rue de Lausanne 154</w:t>
      </w:r>
      <w:r w:rsidRPr="00E8088C">
        <w:rPr>
          <w:szCs w:val="18"/>
        </w:rPr>
        <w:t>, CH-</w:t>
      </w:r>
      <w:r>
        <w:rPr>
          <w:szCs w:val="18"/>
        </w:rPr>
        <w:t>1211 Geneva.</w:t>
      </w:r>
      <w:proofErr w:type="gramEnd"/>
      <w:r>
        <w:rPr>
          <w:szCs w:val="18"/>
        </w:rPr>
        <w:t xml:space="preserve"> Email: </w:t>
      </w:r>
      <w:r w:rsidRPr="00DB0249">
        <w:rPr>
          <w:szCs w:val="18"/>
        </w:rPr>
        <w:t>anacris</w:t>
      </w:r>
      <w:r>
        <w:rPr>
          <w:szCs w:val="18"/>
        </w:rPr>
        <w:t>tina.molina@wto.org.</w:t>
      </w:r>
    </w:p>
  </w:footnote>
  <w:footnote w:id="3">
    <w:p w:rsidR="002424CF" w:rsidRPr="00E8088C" w:rsidRDefault="002424CF" w:rsidP="00BE7B81">
      <w:pPr>
        <w:autoSpaceDE w:val="0"/>
        <w:autoSpaceDN w:val="0"/>
        <w:adjustRightInd w:val="0"/>
        <w:spacing w:after="0" w:line="240" w:lineRule="auto"/>
        <w:rPr>
          <w:sz w:val="18"/>
        </w:rPr>
      </w:pPr>
      <w:r w:rsidRPr="00E8088C">
        <w:rPr>
          <w:rStyle w:val="Appelnotedebasdep"/>
          <w:sz w:val="18"/>
        </w:rPr>
        <w:t>†</w:t>
      </w:r>
      <w:r w:rsidRPr="00E8088C">
        <w:rPr>
          <w:sz w:val="18"/>
        </w:rPr>
        <w:t xml:space="preserve"> Africa Region, World Bank, 1818 H Street, NW; Washington</w:t>
      </w:r>
      <w:r>
        <w:rPr>
          <w:sz w:val="18"/>
        </w:rPr>
        <w:t>, DC, 20433, USA. Email: Liacov</w:t>
      </w:r>
      <w:r w:rsidRPr="00E8088C">
        <w:rPr>
          <w:sz w:val="18"/>
        </w:rPr>
        <w:t>one@worldbank.org.</w:t>
      </w:r>
    </w:p>
  </w:footnote>
  <w:footnote w:id="4">
    <w:p w:rsidR="00B51064" w:rsidRPr="00484740" w:rsidRDefault="00B51064" w:rsidP="00B51064">
      <w:pPr>
        <w:pStyle w:val="Notedebasdepage"/>
        <w:rPr>
          <w:szCs w:val="18"/>
        </w:rPr>
      </w:pPr>
      <w:r>
        <w:rPr>
          <w:rStyle w:val="Appelnotedebasdep"/>
        </w:rPr>
        <w:footnoteRef/>
      </w:r>
      <w:r>
        <w:t xml:space="preserve"> </w:t>
      </w:r>
      <w:r w:rsidRPr="00484740">
        <w:rPr>
          <w:szCs w:val="18"/>
        </w:rPr>
        <w:t>In o</w:t>
      </w:r>
      <w:r w:rsidR="00FE577D">
        <w:rPr>
          <w:szCs w:val="18"/>
        </w:rPr>
        <w:t xml:space="preserve">rder to raise the share of </w:t>
      </w:r>
      <w:r w:rsidRPr="00484740">
        <w:rPr>
          <w:szCs w:val="18"/>
        </w:rPr>
        <w:t>non-traditional exports</w:t>
      </w:r>
      <w:r w:rsidR="00FE577D">
        <w:rPr>
          <w:szCs w:val="18"/>
        </w:rPr>
        <w:t xml:space="preserve"> (i.e. </w:t>
      </w:r>
      <w:r w:rsidR="00FE577D" w:rsidRPr="00C53A46">
        <w:t>existing low-value exports</w:t>
      </w:r>
      <w:r w:rsidR="00FE577D">
        <w:t>)</w:t>
      </w:r>
      <w:r w:rsidRPr="00484740">
        <w:rPr>
          <w:szCs w:val="18"/>
        </w:rPr>
        <w:t>, these have to grow faster than traditional exports.</w:t>
      </w:r>
      <w:r>
        <w:rPr>
          <w:szCs w:val="18"/>
        </w:rPr>
        <w:t xml:space="preserve"> </w:t>
      </w:r>
    </w:p>
  </w:footnote>
  <w:footnote w:id="5">
    <w:p w:rsidR="002424CF" w:rsidRPr="00484740" w:rsidRDefault="002424CF" w:rsidP="003A1261">
      <w:pPr>
        <w:pStyle w:val="Notedebasdepage"/>
        <w:rPr>
          <w:szCs w:val="18"/>
        </w:rPr>
      </w:pPr>
      <w:r w:rsidRPr="00484740">
        <w:rPr>
          <w:rStyle w:val="Appelnotedebasdep"/>
          <w:szCs w:val="18"/>
        </w:rPr>
        <w:footnoteRef/>
      </w:r>
      <w:r w:rsidRPr="00484740">
        <w:rPr>
          <w:szCs w:val="18"/>
        </w:rPr>
        <w:t xml:space="preserve"> According to </w:t>
      </w:r>
      <w:r w:rsidRPr="00484740">
        <w:rPr>
          <w:rFonts w:cstheme="minorHAnsi"/>
          <w:szCs w:val="18"/>
        </w:rPr>
        <w:t xml:space="preserve">Singer and </w:t>
      </w:r>
      <w:proofErr w:type="spellStart"/>
      <w:r w:rsidRPr="00484740">
        <w:rPr>
          <w:rFonts w:cstheme="minorHAnsi"/>
          <w:szCs w:val="18"/>
        </w:rPr>
        <w:t>Prebisch</w:t>
      </w:r>
      <w:proofErr w:type="spellEnd"/>
      <w:r w:rsidRPr="00484740">
        <w:rPr>
          <w:rFonts w:cstheme="minorHAnsi"/>
          <w:szCs w:val="18"/>
        </w:rPr>
        <w:t xml:space="preserve"> (1950)</w:t>
      </w:r>
      <w:r w:rsidRPr="00484740">
        <w:rPr>
          <w:szCs w:val="18"/>
        </w:rPr>
        <w:t xml:space="preserve">, </w:t>
      </w:r>
      <w:r w:rsidRPr="00484740">
        <w:rPr>
          <w:rFonts w:cstheme="minorHAnsi"/>
          <w:szCs w:val="18"/>
        </w:rPr>
        <w:t>export concentration in commodity-dependent countries can hamper development because of the price of commodities relative to manufactures would follow a (inherent) negative trend. Such downward trend in the relative price of commodities deteriorates the terms of trade of these countries, and results in a decline in exporters and producers earnings</w:t>
      </w:r>
      <w:r w:rsidRPr="00484740">
        <w:rPr>
          <w:szCs w:val="18"/>
        </w:rPr>
        <w:t>.</w:t>
      </w:r>
    </w:p>
  </w:footnote>
  <w:footnote w:id="6">
    <w:p w:rsidR="002424CF" w:rsidRPr="00484740" w:rsidRDefault="002424CF" w:rsidP="003A1261">
      <w:pPr>
        <w:pStyle w:val="Notedebasdepage"/>
        <w:rPr>
          <w:szCs w:val="18"/>
        </w:rPr>
      </w:pPr>
      <w:r w:rsidRPr="00484740">
        <w:rPr>
          <w:rStyle w:val="Appelnotedebasdep"/>
          <w:szCs w:val="18"/>
        </w:rPr>
        <w:footnoteRef/>
      </w:r>
      <w:r w:rsidRPr="00484740">
        <w:rPr>
          <w:szCs w:val="18"/>
        </w:rPr>
        <w:t xml:space="preserve"> According to </w:t>
      </w:r>
      <w:proofErr w:type="spellStart"/>
      <w:r w:rsidRPr="00484740">
        <w:rPr>
          <w:szCs w:val="18"/>
        </w:rPr>
        <w:t>Hausmann</w:t>
      </w:r>
      <w:proofErr w:type="spellEnd"/>
      <w:r w:rsidRPr="00484740">
        <w:rPr>
          <w:szCs w:val="18"/>
        </w:rPr>
        <w:t xml:space="preserve"> and </w:t>
      </w:r>
      <w:proofErr w:type="spellStart"/>
      <w:r w:rsidRPr="00484740">
        <w:rPr>
          <w:szCs w:val="18"/>
        </w:rPr>
        <w:t>Rodrik</w:t>
      </w:r>
      <w:proofErr w:type="spellEnd"/>
      <w:r w:rsidRPr="00484740">
        <w:rPr>
          <w:szCs w:val="18"/>
        </w:rPr>
        <w:t xml:space="preserve"> (2003), export concentration can limit the creation of knowledge and technology spillovers for the entire economy. Indeed, the absence of </w:t>
      </w:r>
      <w:r w:rsidRPr="00484740">
        <w:rPr>
          <w:rFonts w:cstheme="minorHAnsi"/>
          <w:szCs w:val="18"/>
        </w:rPr>
        <w:t xml:space="preserve">firms (i.e. first-movers) trying new product or market opportunities limits the diffusion of information and knowledge (e.g. </w:t>
      </w:r>
      <w:r w:rsidRPr="00484740">
        <w:rPr>
          <w:rFonts w:eastAsia="Calibri" w:cstheme="minorHAnsi"/>
          <w:szCs w:val="18"/>
        </w:rPr>
        <w:t>information on foreign demand and quality specifications, competition and production processes</w:t>
      </w:r>
      <w:r w:rsidRPr="00484740">
        <w:rPr>
          <w:rFonts w:cstheme="minorHAnsi"/>
          <w:szCs w:val="18"/>
        </w:rPr>
        <w:t xml:space="preserve">) to the </w:t>
      </w:r>
      <w:r>
        <w:rPr>
          <w:rFonts w:cstheme="minorHAnsi"/>
          <w:szCs w:val="18"/>
        </w:rPr>
        <w:t xml:space="preserve">whole </w:t>
      </w:r>
      <w:r w:rsidRPr="00484740">
        <w:rPr>
          <w:rFonts w:cstheme="minorHAnsi"/>
          <w:szCs w:val="18"/>
        </w:rPr>
        <w:t>export community</w:t>
      </w:r>
      <w:r w:rsidRPr="00484740">
        <w:rPr>
          <w:rFonts w:eastAsia="Calibri" w:cstheme="minorHAnsi"/>
          <w:szCs w:val="18"/>
        </w:rPr>
        <w:t>.</w:t>
      </w:r>
      <w:r w:rsidRPr="00484740">
        <w:rPr>
          <w:rFonts w:cstheme="minorHAnsi"/>
          <w:szCs w:val="18"/>
        </w:rPr>
        <w:t xml:space="preserve"> </w:t>
      </w:r>
    </w:p>
  </w:footnote>
  <w:footnote w:id="7">
    <w:p w:rsidR="002424CF" w:rsidRPr="00CC0F79" w:rsidRDefault="002424CF">
      <w:pPr>
        <w:pStyle w:val="Notedebasdepage"/>
      </w:pPr>
      <w:r w:rsidRPr="00484740">
        <w:rPr>
          <w:rStyle w:val="Appelnotedebasdep"/>
          <w:szCs w:val="18"/>
        </w:rPr>
        <w:footnoteRef/>
      </w:r>
      <w:r w:rsidRPr="00484740">
        <w:rPr>
          <w:szCs w:val="18"/>
        </w:rPr>
        <w:t xml:space="preserve"> In their paper, Haddad et al. (2010)</w:t>
      </w:r>
      <w:r w:rsidRPr="00484740">
        <w:rPr>
          <w:rFonts w:cstheme="minorHAnsi"/>
          <w:szCs w:val="18"/>
        </w:rPr>
        <w:t xml:space="preserve"> show that the effects of trade openness on growth volatility are likely to be amplified when the export basket of a country is heavily concentrated</w:t>
      </w:r>
    </w:p>
  </w:footnote>
  <w:footnote w:id="8">
    <w:p w:rsidR="002424CF" w:rsidRPr="00E414F1" w:rsidRDefault="002424CF" w:rsidP="00D44BFD">
      <w:pPr>
        <w:pStyle w:val="Notedebasdepage"/>
      </w:pPr>
      <w:r w:rsidRPr="00E414F1">
        <w:rPr>
          <w:rStyle w:val="Appelnotedebasdep"/>
          <w:rFonts w:cs="Times New Roman"/>
        </w:rPr>
        <w:footnoteRef/>
      </w:r>
      <w:r>
        <w:t xml:space="preserve"> Product diversification</w:t>
      </w:r>
      <w:r w:rsidRPr="00E414F1">
        <w:t xml:space="preserve"> can further be decomposed into horizont</w:t>
      </w:r>
      <w:r>
        <w:t>al</w:t>
      </w:r>
      <w:r w:rsidR="00FC3DF2">
        <w:t xml:space="preserve"> </w:t>
      </w:r>
      <w:r w:rsidR="00FC3DF2" w:rsidRPr="00486A63">
        <w:t xml:space="preserve">(new product – discoveries) </w:t>
      </w:r>
      <w:r>
        <w:t>and vertical diversification</w:t>
      </w:r>
      <w:r w:rsidR="00FC3DF2">
        <w:t xml:space="preserve"> </w:t>
      </w:r>
      <w:r w:rsidR="00FC3DF2" w:rsidRPr="00486A63">
        <w:t>(i.e. quality upgrading, processing upgrading)</w:t>
      </w:r>
      <w:r>
        <w:t xml:space="preserve">. </w:t>
      </w:r>
      <w:r w:rsidRPr="00E414F1">
        <w:t xml:space="preserve"> </w:t>
      </w:r>
    </w:p>
  </w:footnote>
  <w:footnote w:id="9">
    <w:p w:rsidR="002424CF" w:rsidRDefault="002424CF" w:rsidP="00D44BFD">
      <w:pPr>
        <w:pStyle w:val="Notedebasdepage"/>
      </w:pPr>
      <w:r>
        <w:rPr>
          <w:rStyle w:val="Appelnotedebasdep"/>
        </w:rPr>
        <w:footnoteRef/>
      </w:r>
      <w:r>
        <w:t xml:space="preserve"> </w:t>
      </w:r>
      <w:r w:rsidRPr="00A61295">
        <w:t>Both margins can contribute to reduce export concentration. On the intensive margin side, the expansion of existing non-traditional exports (i.e. trade relationships with a small export share) could rebalance Mali’s export portfolio. On the extensive margin side, trade growth through the introduction of new products or/and markets will h</w:t>
      </w:r>
      <w:r w:rsidR="00615B50">
        <w:t>ave a direct effect on</w:t>
      </w:r>
      <w:r w:rsidRPr="00A61295">
        <w:t xml:space="preserve"> export diversification.</w:t>
      </w:r>
    </w:p>
  </w:footnote>
  <w:footnote w:id="10">
    <w:p w:rsidR="002424CF" w:rsidRDefault="002424CF">
      <w:pPr>
        <w:pStyle w:val="Notedebasdepage"/>
      </w:pPr>
      <w:r>
        <w:rPr>
          <w:rStyle w:val="Appelnotedebasdep"/>
        </w:rPr>
        <w:footnoteRef/>
      </w:r>
      <w:r>
        <w:t xml:space="preserve"> There is no data available for Mali before 1996.</w:t>
      </w:r>
    </w:p>
  </w:footnote>
  <w:footnote w:id="11">
    <w:p w:rsidR="002424CF" w:rsidRDefault="002424CF" w:rsidP="00E11EC2">
      <w:pPr>
        <w:pStyle w:val="Notedebasdepage"/>
      </w:pPr>
      <w:r>
        <w:rPr>
          <w:rStyle w:val="Appelnotedebasdep"/>
        </w:rPr>
        <w:footnoteRef/>
      </w:r>
      <w:r>
        <w:t xml:space="preserve"> Gold in this chapter includes unwrought and semi-processed gold. The HS-6 digit code for unwrought gold and semi processed gold is “710812” and “710813” respectively.</w:t>
      </w:r>
    </w:p>
  </w:footnote>
  <w:footnote w:id="12">
    <w:p w:rsidR="002424CF" w:rsidRDefault="002424CF" w:rsidP="00CC7B6D">
      <w:pPr>
        <w:pStyle w:val="Notedebasdepage"/>
      </w:pPr>
      <w:r w:rsidRPr="00701BB8">
        <w:rPr>
          <w:rStyle w:val="Appelnotedebasdep"/>
          <w:rFonts w:cs="Times New Roman"/>
        </w:rPr>
        <w:footnoteRef/>
      </w:r>
      <w:r>
        <w:t xml:space="preserve"> In 2008, Mali was</w:t>
      </w:r>
      <w:r w:rsidRPr="00701BB8">
        <w:t xml:space="preserve"> the third African exporter of gold after S</w:t>
      </w:r>
      <w:r>
        <w:t>outh Africa and Ghana, and the 7</w:t>
      </w:r>
      <w:r w:rsidRPr="00701BB8">
        <w:t>th cotton exporter in the worl</w:t>
      </w:r>
      <w:r>
        <w:t xml:space="preserve">d (Source: </w:t>
      </w:r>
      <w:proofErr w:type="spellStart"/>
      <w:r>
        <w:t>Comtrade</w:t>
      </w:r>
      <w:proofErr w:type="spellEnd"/>
      <w:r w:rsidRPr="00C72E98">
        <w:t>).</w:t>
      </w:r>
      <w:r>
        <w:t xml:space="preserve"> </w:t>
      </w:r>
    </w:p>
  </w:footnote>
  <w:footnote w:id="13">
    <w:p w:rsidR="002424CF" w:rsidRDefault="002424CF" w:rsidP="00F7367D">
      <w:pPr>
        <w:pStyle w:val="Notedebasdepage"/>
      </w:pPr>
      <w:r>
        <w:rPr>
          <w:rStyle w:val="Appelnotedebasdep"/>
        </w:rPr>
        <w:footnoteRef/>
      </w:r>
      <w:r>
        <w:t xml:space="preserve"> By the end of 2010, the gold price reached US$ 44,043/kg (Source: UNCTAD Statistics). Gold volumes (unwrought gold) also rose during this period but were very volatile with peaks in 2002 (i.e. 71 tons) and 2006 (i.e. 62 tons).</w:t>
      </w:r>
    </w:p>
  </w:footnote>
  <w:footnote w:id="14">
    <w:p w:rsidR="002424CF" w:rsidRPr="00F7367D" w:rsidRDefault="002424CF">
      <w:pPr>
        <w:pStyle w:val="Notedebasdepage"/>
      </w:pPr>
      <w:r>
        <w:rPr>
          <w:rStyle w:val="Appelnotedebasdep"/>
        </w:rPr>
        <w:footnoteRef/>
      </w:r>
      <w:r>
        <w:t xml:space="preserve"> Cotton exports have exhibited large fluctuations between 2000 and 2008 due to the extreme volatility of prices and volumes, which both returned in 2008 to their 2000 levels</w:t>
      </w:r>
    </w:p>
  </w:footnote>
  <w:footnote w:id="15">
    <w:p w:rsidR="002424CF" w:rsidRDefault="002424CF" w:rsidP="005430CA">
      <w:pPr>
        <w:pStyle w:val="Notedebasdepage"/>
      </w:pPr>
      <w:r w:rsidRPr="002635EA">
        <w:rPr>
          <w:rStyle w:val="Appelnotedebasdep"/>
          <w:rFonts w:cs="Times New Roman"/>
        </w:rPr>
        <w:footnoteRef/>
      </w:r>
      <w:r w:rsidRPr="002635EA">
        <w:t xml:space="preserve"> For a given year, the NNH index is</w:t>
      </w:r>
      <w:r>
        <w:t xml:space="preserve"> computed according to </w:t>
      </w:r>
      <w:r>
        <w:rPr>
          <w:rFonts w:eastAsiaTheme="minorEastAsia"/>
        </w:rPr>
        <w:t>NNH</w:t>
      </w:r>
      <m:oMath>
        <m:r>
          <w:rPr>
            <w:rFonts w:ascii="Cambria Math"/>
          </w:rPr>
          <m:t>=</m:t>
        </m:r>
        <m:f>
          <m:fPr>
            <m:ctrlPr>
              <w:rPr>
                <w:rFonts w:ascii="Cambria Math" w:hAnsi="Cambria Math"/>
                <w:i/>
              </w:rPr>
            </m:ctrlPr>
          </m:fPr>
          <m:num>
            <m:nary>
              <m:naryPr>
                <m:chr m:val="∑"/>
                <m:limLoc m:val="subSup"/>
                <m:supHide m:val="on"/>
                <m:ctrlPr>
                  <w:rPr>
                    <w:rFonts w:ascii="Cambria Math" w:hAnsi="Cambria Math"/>
                    <w:i/>
                  </w:rPr>
                </m:ctrlPr>
              </m:naryPr>
              <m:sub>
                <m:r>
                  <w:rPr>
                    <w:rFonts w:ascii="Cambria Math" w:hAnsi="Cambria Math"/>
                  </w:rPr>
                  <m:t>k</m:t>
                </m:r>
              </m:sub>
              <m:sup/>
              <m:e>
                <m:sSubSup>
                  <m:sSubSupPr>
                    <m:ctrlPr>
                      <w:rPr>
                        <w:rFonts w:ascii="Cambria Math" w:hAnsi="Cambria Math"/>
                        <w:i/>
                      </w:rPr>
                    </m:ctrlPr>
                  </m:sSubSupPr>
                  <m:e>
                    <m:r>
                      <w:rPr>
                        <w:rFonts w:ascii="Cambria Math" w:hAnsi="Cambria Math"/>
                      </w:rPr>
                      <m:t>s</m:t>
                    </m:r>
                  </m:e>
                  <m:sub>
                    <m:r>
                      <w:rPr>
                        <w:rFonts w:ascii="Cambria Math" w:hAnsi="Cambria Math"/>
                      </w:rPr>
                      <m:t>k</m:t>
                    </m:r>
                  </m:sub>
                  <m:sup>
                    <m:r>
                      <w:rPr>
                        <w:rFonts w:ascii="Cambria Math"/>
                      </w:rPr>
                      <m:t>2</m:t>
                    </m:r>
                  </m:sup>
                </m:sSubSup>
                <m:r>
                  <w:rPr>
                    <w:rFonts w:ascii="Cambria Math" w:hAnsi="Cambria Math"/>
                  </w:rPr>
                  <m:t>-</m:t>
                </m:r>
                <m:r>
                  <w:rPr>
                    <w:rFonts w:ascii="Cambria Math"/>
                  </w:rPr>
                  <m:t>1/</m:t>
                </m:r>
                <m:r>
                  <w:rPr>
                    <w:rFonts w:ascii="Cambria Math" w:hAnsi="Cambria Math"/>
                  </w:rPr>
                  <m:t>n</m:t>
                </m:r>
              </m:e>
            </m:nary>
          </m:num>
          <m:den>
            <m:r>
              <w:rPr>
                <w:rFonts w:ascii="Cambria Math"/>
              </w:rPr>
              <m:t>1</m:t>
            </m:r>
            <m:r>
              <w:rPr>
                <w:rFonts w:ascii="Cambria Math"/>
              </w:rPr>
              <m:t>-</m:t>
            </m:r>
            <m:r>
              <w:rPr>
                <w:rFonts w:ascii="Cambria Math"/>
              </w:rPr>
              <m:t>1/</m:t>
            </m:r>
            <m:r>
              <w:rPr>
                <w:rFonts w:ascii="Cambria Math" w:hAnsi="Cambria Math"/>
              </w:rPr>
              <m:t>n</m:t>
            </m:r>
          </m:den>
        </m:f>
      </m:oMath>
      <w:r w:rsidRPr="002635EA">
        <w:t xml:space="preserve"> , where </w:t>
      </w:r>
      <m:oMath>
        <m:sSub>
          <m:sSubPr>
            <m:ctrlPr>
              <w:rPr>
                <w:rFonts w:ascii="Cambria Math" w:hAnsi="Cambria Math"/>
                <w:i/>
              </w:rPr>
            </m:ctrlPr>
          </m:sSubPr>
          <m:e>
            <m:r>
              <w:rPr>
                <w:rFonts w:ascii="Cambria Math" w:hAnsi="Cambria Math"/>
              </w:rPr>
              <m:t>s</m:t>
            </m:r>
          </m:e>
          <m:sub>
            <m:r>
              <w:rPr>
                <w:rFonts w:ascii="Cambria Math" w:hAnsi="Cambria Math"/>
              </w:rPr>
              <m:t>k</m:t>
            </m:r>
          </m:sub>
        </m:sSub>
        <m:r>
          <w:rPr>
            <w:rFonts w:ascii="Cambria Math" w:hAnsi="Cambria Math"/>
          </w:rPr>
          <m:t xml:space="preserve"> </m:t>
        </m:r>
      </m:oMath>
      <w:proofErr w:type="gramStart"/>
      <w:r w:rsidRPr="002635EA">
        <w:rPr>
          <w:rFonts w:eastAsiaTheme="minorEastAsia"/>
        </w:rPr>
        <w:t>is the share in total</w:t>
      </w:r>
      <w:proofErr w:type="gramEnd"/>
      <w:r w:rsidRPr="002635EA">
        <w:rPr>
          <w:rFonts w:eastAsiaTheme="minorEastAsia"/>
        </w:rPr>
        <w:t xml:space="preserve"> exports of good</w:t>
      </w:r>
      <w:r w:rsidRPr="002635EA">
        <w:rPr>
          <w:rFonts w:eastAsiaTheme="minorEastAsia"/>
          <w:i/>
        </w:rPr>
        <w:t xml:space="preserve"> k</w:t>
      </w:r>
      <w:r w:rsidRPr="002635EA">
        <w:rPr>
          <w:rFonts w:eastAsiaTheme="minorEastAsia"/>
        </w:rPr>
        <w:t xml:space="preserve"> and </w:t>
      </w:r>
      <w:r w:rsidRPr="002635EA">
        <w:rPr>
          <w:rFonts w:eastAsiaTheme="minorEastAsia"/>
          <w:i/>
        </w:rPr>
        <w:t>n</w:t>
      </w:r>
      <w:r w:rsidRPr="002635EA">
        <w:rPr>
          <w:rFonts w:eastAsiaTheme="minorEastAsia"/>
        </w:rPr>
        <w:t xml:space="preserve"> the total number of exported goods</w:t>
      </w:r>
      <w:r>
        <w:rPr>
          <w:rFonts w:eastAsiaTheme="minorEastAsia"/>
        </w:rPr>
        <w:t xml:space="preserve"> (</w:t>
      </w:r>
      <w:r>
        <w:t>at the HS-6 digit of disaggregation)</w:t>
      </w:r>
      <w:r w:rsidRPr="002635EA">
        <w:rPr>
          <w:rFonts w:eastAsiaTheme="minorEastAsia"/>
        </w:rPr>
        <w:t xml:space="preserve">. </w:t>
      </w:r>
    </w:p>
  </w:footnote>
  <w:footnote w:id="16">
    <w:p w:rsidR="002424CF" w:rsidRPr="005430CA" w:rsidRDefault="002424CF">
      <w:pPr>
        <w:pStyle w:val="Notedebasdepage"/>
      </w:pPr>
      <w:r>
        <w:rPr>
          <w:rStyle w:val="Appelnotedebasdep"/>
        </w:rPr>
        <w:footnoteRef/>
      </w:r>
      <w:r>
        <w:t xml:space="preserve"> </w:t>
      </w:r>
      <w:r w:rsidRPr="005430CA">
        <w:t>According to the</w:t>
      </w:r>
      <w:r>
        <w:t xml:space="preserve"> latest</w:t>
      </w:r>
      <w:r w:rsidRPr="005430CA">
        <w:t xml:space="preserve"> World Bank data</w:t>
      </w:r>
      <w:r>
        <w:t xml:space="preserve"> (i.e. latest year is 2006)</w:t>
      </w:r>
      <w:r w:rsidRPr="005430CA">
        <w:t>, among the 50 Sub-Saharan African countries, Mali is the 11th country with the highest degree of export concentration. Angola’s export portfolio is the least diversified, followed by Equatorial Guinea and Sudan. Other countries with a more concentrated portfolio than Mali include Nigeria, Gabon, Libya, Guinea Bissau and Mauritania. Source: World Bank Database’s African Development Indicators. Figures are for 2006, the latest year available.</w:t>
      </w:r>
    </w:p>
  </w:footnote>
  <w:footnote w:id="17">
    <w:p w:rsidR="002424CF" w:rsidRDefault="002424CF" w:rsidP="00266A64">
      <w:pPr>
        <w:pStyle w:val="Notedebasdepage"/>
      </w:pPr>
      <w:r>
        <w:rPr>
          <w:rStyle w:val="Appelnotedebasdep"/>
        </w:rPr>
        <w:footnoteRef/>
      </w:r>
      <w:r>
        <w:t xml:space="preserve"> It is worth noticing that there is a significant difference in 2006 between the data published by </w:t>
      </w:r>
      <w:proofErr w:type="spellStart"/>
      <w:r>
        <w:t>Comtrade</w:t>
      </w:r>
      <w:proofErr w:type="spellEnd"/>
      <w:r>
        <w:t xml:space="preserve"> and the data collected by the Customs Authorities. In that year total exports from the firm-level dataset were 23% higher than the total exports by </w:t>
      </w:r>
      <w:proofErr w:type="spellStart"/>
      <w:r>
        <w:t>Comtrade</w:t>
      </w:r>
      <w:proofErr w:type="spellEnd"/>
      <w:r>
        <w:t xml:space="preserve">. Such difference comes from recording differences in the cotton and golden category. For the other years, the difference is on average less than 4%. </w:t>
      </w:r>
    </w:p>
  </w:footnote>
  <w:footnote w:id="18">
    <w:p w:rsidR="002424CF" w:rsidRPr="00AA6FB3" w:rsidRDefault="002424CF" w:rsidP="006414FB">
      <w:pPr>
        <w:pStyle w:val="Notedebasdepage"/>
      </w:pPr>
      <w:r w:rsidRPr="00AA6FB3">
        <w:rPr>
          <w:rStyle w:val="Appelnotedebasdep"/>
          <w:rFonts w:cs="Times New Roman"/>
        </w:rPr>
        <w:footnoteRef/>
      </w:r>
      <w:r w:rsidRPr="00AA6FB3">
        <w:t xml:space="preserve"> Exporters are identified through their names. </w:t>
      </w:r>
    </w:p>
  </w:footnote>
  <w:footnote w:id="19">
    <w:p w:rsidR="002424CF" w:rsidRPr="00AA6FB3" w:rsidRDefault="002424CF" w:rsidP="006414FB">
      <w:pPr>
        <w:pStyle w:val="Notedebasdepage"/>
      </w:pPr>
      <w:r w:rsidRPr="00AA6FB3">
        <w:rPr>
          <w:rStyle w:val="Appelnotedebasdep"/>
          <w:rFonts w:cs="Times New Roman"/>
        </w:rPr>
        <w:footnoteRef/>
      </w:r>
      <w:r w:rsidRPr="00AA6FB3">
        <w:t xml:space="preserve"> The firms’ universe d</w:t>
      </w:r>
      <w:r>
        <w:t>uring this period consists of 1,</w:t>
      </w:r>
      <w:r w:rsidRPr="00AA6FB3">
        <w:t>212 firms, among which not all export in every year</w:t>
      </w:r>
      <w:r>
        <w:t xml:space="preserve"> (i.e. 103 firms exported in every year)</w:t>
      </w:r>
      <w:r w:rsidRPr="00AA6FB3">
        <w:t xml:space="preserve">. For accuracy purposes, we exclude embassies and couriers. For a more detailed description of the dataset refer to </w:t>
      </w:r>
      <w:proofErr w:type="spellStart"/>
      <w:r w:rsidRPr="00AA6FB3">
        <w:t>Cadot</w:t>
      </w:r>
      <w:proofErr w:type="spellEnd"/>
      <w:r w:rsidRPr="00AA6FB3">
        <w:t xml:space="preserve"> et al</w:t>
      </w:r>
      <w:r>
        <w:t>.</w:t>
      </w:r>
      <w:r w:rsidRPr="00AA6FB3">
        <w:t xml:space="preserve"> (2010)</w:t>
      </w:r>
      <w:r>
        <w:t>.</w:t>
      </w:r>
      <w:r w:rsidRPr="00AA6FB3">
        <w:t xml:space="preserve"> </w:t>
      </w:r>
    </w:p>
  </w:footnote>
  <w:footnote w:id="20">
    <w:p w:rsidR="002424CF" w:rsidRDefault="002424CF" w:rsidP="006414FB">
      <w:pPr>
        <w:pStyle w:val="Notedebasdepage"/>
      </w:pPr>
      <w:r>
        <w:rPr>
          <w:rStyle w:val="Appelnotedebasdep"/>
        </w:rPr>
        <w:footnoteRef/>
      </w:r>
      <w:r>
        <w:t xml:space="preserve"> However, this does necessarily mean that the set of export destinations between 2005 and 2008 was the same. The data show that there is churning. The number of markets that were the same in 2005 and 2008 was 51 or around 73% of the total number of markets in these years. The rest reflect exporters’ dynamics of market entry and exit. More precisely, there were 18 markets that were served in 2008 but not in 2005 (i.e. market entries) and 20 markets that were not served in 2008 but were in 2005 (i.e. market exits).  </w:t>
      </w:r>
    </w:p>
  </w:footnote>
  <w:footnote w:id="21">
    <w:p w:rsidR="002424CF" w:rsidRDefault="002424CF" w:rsidP="006414FB">
      <w:pPr>
        <w:pStyle w:val="Notedebasdepage"/>
      </w:pPr>
      <w:r>
        <w:rPr>
          <w:rStyle w:val="Appelnotedebasdep"/>
        </w:rPr>
        <w:footnoteRef/>
      </w:r>
      <w:r>
        <w:t xml:space="preserve"> The set of comparator countries is the same than the one used in Section 2, namely Ghana, Senegal, South Africa, Tanzania, Uganda and Zambia. </w:t>
      </w:r>
      <w:r w:rsidRPr="00A2764B">
        <w:t>These figures seemed to suggest that diversity in the number of products and markets is a necessary but not sufficient condition to achieve export diversification.</w:t>
      </w:r>
      <w:r>
        <w:t xml:space="preserve">   </w:t>
      </w:r>
    </w:p>
  </w:footnote>
  <w:footnote w:id="22">
    <w:p w:rsidR="002424CF" w:rsidRDefault="002424CF" w:rsidP="006414FB">
      <w:pPr>
        <w:pStyle w:val="Notedebasdepage"/>
      </w:pPr>
      <w:r>
        <w:rPr>
          <w:rStyle w:val="Appelnotedebasdep"/>
        </w:rPr>
        <w:footnoteRef/>
      </w:r>
      <w:r>
        <w:t xml:space="preserve"> They pick these countries as they exhibited strong export growth between 1975 and 2003. </w:t>
      </w:r>
    </w:p>
  </w:footnote>
  <w:footnote w:id="23">
    <w:p w:rsidR="002424CF" w:rsidRPr="00A548F0" w:rsidRDefault="002424CF" w:rsidP="00604CB2">
      <w:pPr>
        <w:pStyle w:val="Notedebasdepage"/>
        <w:rPr>
          <w:lang w:val="es-ES"/>
        </w:rPr>
      </w:pPr>
      <w:r>
        <w:rPr>
          <w:rStyle w:val="Appelnotedebasdep"/>
        </w:rPr>
        <w:footnoteRef/>
      </w:r>
      <w:r>
        <w:t xml:space="preserve"> </w:t>
      </w:r>
      <w:r w:rsidRPr="00BF5600">
        <w:t xml:space="preserve">The probability of failure or probability of exiting the market after one year is given by the number of exporters that exit the market in </w:t>
      </w:r>
      <w:r w:rsidRPr="00BF5600">
        <w:rPr>
          <w:i/>
        </w:rPr>
        <w:t>t</w:t>
      </w:r>
      <w:r w:rsidRPr="00BF5600">
        <w:t xml:space="preserve"> given that they entered in </w:t>
      </w:r>
      <w:r w:rsidRPr="00BF5600">
        <w:rPr>
          <w:i/>
        </w:rPr>
        <w:t>t-1</w:t>
      </w:r>
      <w:r w:rsidRPr="00BF5600">
        <w:t xml:space="preserve"> relative to the number of new exporters in </w:t>
      </w:r>
      <w:r w:rsidRPr="00BF5600">
        <w:rPr>
          <w:i/>
        </w:rPr>
        <w:t>t-1</w:t>
      </w:r>
      <w:r w:rsidRPr="00BF5600">
        <w:t>.</w:t>
      </w:r>
      <w:r>
        <w:t xml:space="preserve"> </w:t>
      </w:r>
    </w:p>
  </w:footnote>
  <w:footnote w:id="24">
    <w:p w:rsidR="002424CF" w:rsidRDefault="002424CF" w:rsidP="00604CB2">
      <w:pPr>
        <w:pStyle w:val="Notedebasdepage"/>
      </w:pPr>
      <w:r>
        <w:rPr>
          <w:rStyle w:val="Appelnotedebasdep"/>
        </w:rPr>
        <w:footnoteRef/>
      </w:r>
      <w:r>
        <w:t xml:space="preserve"> </w:t>
      </w:r>
      <w:r w:rsidRPr="00603C6B">
        <w:t xml:space="preserve">Overall </w:t>
      </w:r>
      <w:r>
        <w:t xml:space="preserve">between </w:t>
      </w:r>
      <w:r w:rsidRPr="00603C6B">
        <w:t xml:space="preserve">100 </w:t>
      </w:r>
      <w:r>
        <w:t xml:space="preserve">and </w:t>
      </w:r>
      <w:r w:rsidRPr="00603C6B">
        <w:t xml:space="preserve">120 firms </w:t>
      </w:r>
      <w:r>
        <w:t xml:space="preserve">stopped exporting </w:t>
      </w:r>
      <w:r w:rsidRPr="00603C6B">
        <w:t>in any given year.</w:t>
      </w:r>
    </w:p>
  </w:footnote>
  <w:footnote w:id="25">
    <w:p w:rsidR="002424CF" w:rsidRDefault="002424CF" w:rsidP="00604CB2">
      <w:pPr>
        <w:pStyle w:val="Notedebasdepage"/>
      </w:pPr>
      <w:r>
        <w:rPr>
          <w:rStyle w:val="Appelnotedebasdep"/>
        </w:rPr>
        <w:footnoteRef/>
      </w:r>
      <w:r>
        <w:t xml:space="preserve"> Interviews (i.e. in total 18) were conducted in November 2010 with exporters, donors and government officials in Mali. </w:t>
      </w:r>
      <w:r w:rsidRPr="00E35BE9">
        <w:t>Exporters were selected from the exporters' directory and according to their experience (i.e. experienced, young and non regular exporters). Some of the exporters were also identified with the h</w:t>
      </w:r>
      <w:r>
        <w:t>elp of the API (</w:t>
      </w:r>
      <w:proofErr w:type="spellStart"/>
      <w:r w:rsidRPr="003D5B6B">
        <w:t>Agence</w:t>
      </w:r>
      <w:proofErr w:type="spellEnd"/>
      <w:r>
        <w:t xml:space="preserve"> pour la Promotion des </w:t>
      </w:r>
      <w:proofErr w:type="spellStart"/>
      <w:r w:rsidRPr="003D5B6B">
        <w:t>Investissement</w:t>
      </w:r>
      <w:proofErr w:type="spellEnd"/>
      <w:r w:rsidRPr="00E35BE9">
        <w:t>). With the help of exporters' associations, we also identified and interviewed exporters that exit the market</w:t>
      </w:r>
      <w:r>
        <w:t xml:space="preserve"> in previous years. Most exporters </w:t>
      </w:r>
      <w:r w:rsidRPr="00E35BE9">
        <w:t>op</w:t>
      </w:r>
      <w:r>
        <w:t>e</w:t>
      </w:r>
      <w:r w:rsidRPr="00E35BE9">
        <w:t>rate in the agribusiness.</w:t>
      </w:r>
      <w:r>
        <w:t xml:space="preserve"> </w:t>
      </w:r>
    </w:p>
  </w:footnote>
  <w:footnote w:id="26">
    <w:p w:rsidR="007052DD" w:rsidRPr="00164705" w:rsidRDefault="007052DD" w:rsidP="007052DD">
      <w:pPr>
        <w:pStyle w:val="Notedebasdepage"/>
      </w:pPr>
      <w:r w:rsidRPr="00B025B4">
        <w:rPr>
          <w:rStyle w:val="Appelnotedebasdep"/>
          <w:rFonts w:cs="Times New Roman"/>
        </w:rPr>
        <w:footnoteRef/>
      </w:r>
      <w:r w:rsidRPr="00B025B4">
        <w:t xml:space="preserve"> </w:t>
      </w:r>
      <w:r>
        <w:t xml:space="preserve">The same definition of </w:t>
      </w:r>
      <w:r w:rsidRPr="007052DD">
        <w:rPr>
          <w:i/>
        </w:rPr>
        <w:t>new</w:t>
      </w:r>
      <w:r>
        <w:t xml:space="preserve"> and </w:t>
      </w:r>
      <w:r w:rsidRPr="007052DD">
        <w:rPr>
          <w:i/>
        </w:rPr>
        <w:t>existing</w:t>
      </w:r>
      <w:r>
        <w:t xml:space="preserve"> applied to </w:t>
      </w:r>
      <w:r w:rsidR="00982AE5">
        <w:t xml:space="preserve">trade </w:t>
      </w:r>
      <w:r>
        <w:t>relationships</w:t>
      </w:r>
      <w:r w:rsidR="00982AE5">
        <w:t xml:space="preserve"> (i.e. product-market combinations)</w:t>
      </w:r>
      <w:r>
        <w:t xml:space="preserve"> is applied to products and markets. For instance, a</w:t>
      </w:r>
      <w:r w:rsidRPr="00164705">
        <w:t xml:space="preserve"> new product is a product that is exported in</w:t>
      </w:r>
      <w:r w:rsidRPr="00164705">
        <w:rPr>
          <w:i/>
        </w:rPr>
        <w:t xml:space="preserve"> t</w:t>
      </w:r>
      <w:r w:rsidRPr="00164705">
        <w:t>, but not in</w:t>
      </w:r>
      <w:r w:rsidRPr="00164705">
        <w:rPr>
          <w:i/>
        </w:rPr>
        <w:t xml:space="preserve"> t-1</w:t>
      </w:r>
      <w:r w:rsidRPr="00164705">
        <w:t>. An existing product is a product exported in</w:t>
      </w:r>
      <w:r w:rsidRPr="00164705">
        <w:rPr>
          <w:i/>
        </w:rPr>
        <w:t xml:space="preserve"> t</w:t>
      </w:r>
      <w:r>
        <w:t xml:space="preserve"> and</w:t>
      </w:r>
      <w:r w:rsidRPr="00164705">
        <w:t xml:space="preserve"> </w:t>
      </w:r>
      <w:r w:rsidRPr="00164705">
        <w:rPr>
          <w:i/>
        </w:rPr>
        <w:t>t-1</w:t>
      </w:r>
      <w:r>
        <w:t>.</w:t>
      </w:r>
      <w:r w:rsidRPr="00164705">
        <w:t xml:space="preserve"> </w:t>
      </w:r>
      <w:r>
        <w:t xml:space="preserve">It is worth noticing that since </w:t>
      </w:r>
      <w:r w:rsidRPr="00164705">
        <w:t>ne</w:t>
      </w:r>
      <w:r>
        <w:t>w trade relationship refers to</w:t>
      </w:r>
      <w:r w:rsidRPr="00164705">
        <w:t xml:space="preserve"> </w:t>
      </w:r>
      <w:r>
        <w:t xml:space="preserve">a </w:t>
      </w:r>
      <w:r w:rsidRPr="00164705">
        <w:t>new product-market combination, it can also result from the combination of an existing product and an existing partner. In this study, we consider this component a source of market diversification.</w:t>
      </w:r>
    </w:p>
  </w:footnote>
  <w:footnote w:id="27">
    <w:p w:rsidR="002424CF" w:rsidRDefault="002424CF" w:rsidP="004C3B38">
      <w:pPr>
        <w:pStyle w:val="Notedebasdepage"/>
      </w:pPr>
      <w:r w:rsidRPr="005F2556">
        <w:rPr>
          <w:rStyle w:val="Appelnotedebasdep"/>
        </w:rPr>
        <w:footnoteRef/>
      </w:r>
      <w:r w:rsidRPr="005F2556">
        <w:t xml:space="preserve"> It is worth mentioning that the surge on the exports of an existing product to a new market observed in 2001 in Figure 4a reflects the exports of cotton (existing product) to new markets. In that year, their value amounted to US$ 97 million or 59% of the extensive margin. Cotton was notably exported to 26 new destinations in 2001 including Thailand (US$24 million) and Taiwan (US$ 12 million) compared to only two destinations (i.e. Senegal and Cote d'Ivoire) in previous years (Source: </w:t>
      </w:r>
      <w:proofErr w:type="spellStart"/>
      <w:r w:rsidRPr="005F2556">
        <w:t>Comtrade</w:t>
      </w:r>
      <w:proofErr w:type="spellEnd"/>
      <w:r w:rsidRPr="005F2556">
        <w:t>).</w:t>
      </w:r>
    </w:p>
  </w:footnote>
  <w:footnote w:id="28">
    <w:p w:rsidR="002424CF" w:rsidRDefault="002424CF" w:rsidP="006B076C">
      <w:pPr>
        <w:pStyle w:val="Notedebasdepage"/>
      </w:pPr>
      <w:r>
        <w:rPr>
          <w:rStyle w:val="Appelnotedebasdep"/>
        </w:rPr>
        <w:footnoteRef/>
      </w:r>
      <w:r>
        <w:t xml:space="preserve"> We choose 0.1% as a threshold which in terms of value represents around $US 175 thousands in 2000. The majority of the export lines in 2000 had a value lower than 0.1% and by using this threshold we can at look the evolution of a larger number of trade relationships than if we use a more restrictive threshold. We also apply two other thresholds 0.05% and 1% (includes all products except cotton). The results remain very similar.    </w:t>
      </w:r>
    </w:p>
  </w:footnote>
  <w:footnote w:id="29">
    <w:p w:rsidR="002424CF" w:rsidRDefault="002424CF" w:rsidP="006B076C">
      <w:pPr>
        <w:pStyle w:val="Notedebasdepage"/>
      </w:pPr>
      <w:r w:rsidRPr="00AC33D8">
        <w:rPr>
          <w:rStyle w:val="Appelnotedebasdep"/>
        </w:rPr>
        <w:footnoteRef/>
      </w:r>
      <w:r w:rsidRPr="00AC33D8">
        <w:t xml:space="preserve"> In the case of mangoes, their exports have experienced an important increase only in recent years, although they have been traded since th</w:t>
      </w:r>
      <w:r>
        <w:t>e 70's. In fact, their share i</w:t>
      </w:r>
      <w:r w:rsidRPr="00AC33D8">
        <w:t>n non-gold exports was larger than 0.1% in 2000.</w:t>
      </w:r>
      <w:r>
        <w:t xml:space="preserve">     </w:t>
      </w:r>
    </w:p>
  </w:footnote>
  <w:footnote w:id="30">
    <w:p w:rsidR="002424CF" w:rsidRDefault="002424CF" w:rsidP="0083500C">
      <w:pPr>
        <w:pStyle w:val="Notedebasdepage"/>
      </w:pPr>
      <w:r>
        <w:rPr>
          <w:rStyle w:val="Appelnotedebasdep"/>
        </w:rPr>
        <w:footnoteRef/>
      </w:r>
      <w:r>
        <w:t xml:space="preserve"> Existing and new exporters are defined as in subsection 4.1. </w:t>
      </w:r>
    </w:p>
  </w:footnote>
  <w:footnote w:id="31">
    <w:p w:rsidR="002424CF" w:rsidRPr="007B00C2" w:rsidRDefault="002424CF">
      <w:pPr>
        <w:pStyle w:val="Notedebasdepage"/>
      </w:pPr>
      <w:r>
        <w:rPr>
          <w:rStyle w:val="Appelnotedebasdep"/>
        </w:rPr>
        <w:footnoteRef/>
      </w:r>
      <w:r>
        <w:t xml:space="preserve"> </w:t>
      </w:r>
      <w:r w:rsidRPr="007B00C2">
        <w:t>A similar pattern was found in the case of Malawi, Senegal and Tanzania.</w:t>
      </w:r>
    </w:p>
  </w:footnote>
  <w:footnote w:id="32">
    <w:p w:rsidR="002424CF" w:rsidRDefault="002424CF" w:rsidP="00F6217D">
      <w:pPr>
        <w:pStyle w:val="Notedebasdepage"/>
      </w:pPr>
      <w:r>
        <w:rPr>
          <w:rStyle w:val="Appelnotedebasdep"/>
        </w:rPr>
        <w:footnoteRef/>
      </w:r>
      <w:r>
        <w:t xml:space="preserve"> </w:t>
      </w:r>
      <w:r>
        <w:rPr>
          <w:rFonts w:eastAsia="SimSun"/>
        </w:rPr>
        <w:t xml:space="preserve">The variables on firm characteristics are based on the information in the firm-level dataset.  </w:t>
      </w:r>
      <w:r w:rsidRPr="00B710E3">
        <w:rPr>
          <w:rFonts w:eastAsia="SimSun"/>
        </w:rPr>
        <w:t>Given the nat</w:t>
      </w:r>
      <w:r>
        <w:rPr>
          <w:rFonts w:eastAsia="SimSun"/>
        </w:rPr>
        <w:t>ure of the dataset, we dispose</w:t>
      </w:r>
      <w:r w:rsidRPr="00B710E3">
        <w:rPr>
          <w:rFonts w:eastAsia="SimSun"/>
        </w:rPr>
        <w:t xml:space="preserve"> information on</w:t>
      </w:r>
      <w:r>
        <w:rPr>
          <w:rFonts w:eastAsia="SimSun"/>
        </w:rPr>
        <w:t>ly on</w:t>
      </w:r>
      <w:r w:rsidRPr="00B710E3">
        <w:rPr>
          <w:rFonts w:eastAsia="SimSun"/>
        </w:rPr>
        <w:t xml:space="preserve"> firms’ exports, markets and produc</w:t>
      </w:r>
      <w:r>
        <w:rPr>
          <w:rFonts w:eastAsia="SimSun"/>
        </w:rPr>
        <w:t>ts, which limits the variables</w:t>
      </w:r>
      <w:r w:rsidRPr="00B710E3">
        <w:rPr>
          <w:rFonts w:eastAsia="SimSun"/>
        </w:rPr>
        <w:t xml:space="preserve"> that we could use to capture firms' characteristics.</w:t>
      </w:r>
      <w:r>
        <w:rPr>
          <w:rFonts w:eastAsia="SimSun"/>
        </w:rPr>
        <w:t xml:space="preserve"> </w:t>
      </w:r>
      <w:r w:rsidRPr="00120441">
        <w:t xml:space="preserve">There is no data </w:t>
      </w:r>
      <w:r>
        <w:t>available on firm’s employment, ownership, productivity</w:t>
      </w:r>
      <w:r w:rsidRPr="00120441">
        <w:t xml:space="preserve"> or domestic sales (if any).   </w:t>
      </w:r>
    </w:p>
  </w:footnote>
  <w:footnote w:id="33">
    <w:p w:rsidR="002424CF" w:rsidRDefault="002424CF" w:rsidP="00B710E3">
      <w:pPr>
        <w:pStyle w:val="Notedebasdepage"/>
      </w:pPr>
      <w:r>
        <w:rPr>
          <w:rStyle w:val="Appelnotedebasdep"/>
        </w:rPr>
        <w:footnoteRef/>
      </w:r>
      <w:r>
        <w:t xml:space="preserve"> Assuming Malian exporters have a positive reputation, which is likely to be the case if they survive.</w:t>
      </w:r>
    </w:p>
  </w:footnote>
  <w:footnote w:id="34">
    <w:p w:rsidR="002424CF" w:rsidRDefault="002424CF" w:rsidP="00B710E3">
      <w:pPr>
        <w:pStyle w:val="Notedebasdepage"/>
      </w:pPr>
      <w:r>
        <w:rPr>
          <w:rStyle w:val="Appelnotedebasdep"/>
        </w:rPr>
        <w:footnoteRef/>
      </w:r>
      <w:r>
        <w:t xml:space="preserve"> </w:t>
      </w:r>
      <w:r w:rsidRPr="00154D08">
        <w:t>The main drawback of the LPM model is that the predicted probabilities can be negative and larger than one. But despite</w:t>
      </w:r>
      <w:r>
        <w:t xml:space="preserve"> this, the LPM estimator is deemed to provide a good indication</w:t>
      </w:r>
      <w:r w:rsidRPr="00154D08">
        <w:t xml:space="preserve"> of the </w:t>
      </w:r>
      <w:r>
        <w:t xml:space="preserve">magnitude </w:t>
      </w:r>
      <w:r w:rsidRPr="00154D08">
        <w:t xml:space="preserve">of the effect.  </w:t>
      </w:r>
    </w:p>
  </w:footnote>
  <w:footnote w:id="35">
    <w:p w:rsidR="002424CF" w:rsidRDefault="002424CF" w:rsidP="00233547">
      <w:pPr>
        <w:pStyle w:val="Notedebasdepage"/>
      </w:pPr>
      <w:r>
        <w:rPr>
          <w:rStyle w:val="Appelnotedebasdep"/>
        </w:rPr>
        <w:footnoteRef/>
      </w:r>
      <w:r>
        <w:t xml:space="preserve"> Firms can break into a new market with an existing or a new product.</w:t>
      </w:r>
    </w:p>
  </w:footnote>
  <w:footnote w:id="36">
    <w:p w:rsidR="002424CF" w:rsidRDefault="002424CF" w:rsidP="002F6266">
      <w:pPr>
        <w:pStyle w:val="Notedebasdepage"/>
      </w:pPr>
      <w:r>
        <w:rPr>
          <w:rStyle w:val="Appelnotedebasdep"/>
        </w:rPr>
        <w:footnoteRef/>
      </w:r>
      <w:r>
        <w:t xml:space="preserve"> Rauch classification distinguishes among differentiated, homogeneous and referenced price goods. In this study, we consider homogeneous and referenced price goods as a single category.  </w:t>
      </w:r>
    </w:p>
  </w:footnote>
  <w:footnote w:id="37">
    <w:p w:rsidR="002424CF" w:rsidRDefault="002424CF" w:rsidP="002F6266">
      <w:pPr>
        <w:pStyle w:val="Notedebasdepage"/>
      </w:pPr>
      <w:r>
        <w:rPr>
          <w:rStyle w:val="Appelnotedebasdep"/>
        </w:rPr>
        <w:footnoteRef/>
      </w:r>
      <w:r>
        <w:t xml:space="preserve"> The products included in a support program (i.e. </w:t>
      </w:r>
      <w:r w:rsidRPr="00655771">
        <w:rPr>
          <w:rFonts w:cs="Times New Roman"/>
        </w:rPr>
        <w:t>“Integrated Initiatives for Economic Growth in Mali”</w:t>
      </w:r>
      <w:r>
        <w:rPr>
          <w:rFonts w:cs="Times New Roman"/>
        </w:rPr>
        <w:t xml:space="preserve">- </w:t>
      </w:r>
      <w:r>
        <w:t xml:space="preserve">USAID and the </w:t>
      </w:r>
      <w:r w:rsidRPr="00655771">
        <w:t>“Agricultural Competitiveness and Diversification Project</w:t>
      </w:r>
      <w:r>
        <w:t xml:space="preserve">” -Malian Government assisted by World Bank) are: </w:t>
      </w:r>
      <w:r w:rsidRPr="002F60CE">
        <w:t xml:space="preserve">bananas, mangoes, fish, sesame, onions/shallots, papaya, potatoes, tomatoes, milk, </w:t>
      </w:r>
      <w:proofErr w:type="spellStart"/>
      <w:r w:rsidRPr="002F60CE">
        <w:t>shea</w:t>
      </w:r>
      <w:proofErr w:type="spellEnd"/>
      <w:r w:rsidRPr="002F60CE">
        <w:t xml:space="preserve"> nuts, millet, sorghum and rice. We exclude livestock due to the changes in the statistical recording that have been applied in the last years in this category.</w:t>
      </w:r>
    </w:p>
  </w:footnote>
  <w:footnote w:id="38">
    <w:p w:rsidR="00436F01" w:rsidRPr="00436F01" w:rsidRDefault="00436F01">
      <w:pPr>
        <w:pStyle w:val="Notedebasdepage"/>
      </w:pPr>
      <w:r>
        <w:rPr>
          <w:rStyle w:val="Appelnotedebasdep"/>
        </w:rPr>
        <w:footnoteRef/>
      </w:r>
      <w:r>
        <w:t xml:space="preserve"> For th</w:t>
      </w:r>
      <w:r w:rsidR="00E04259">
        <w:t>is</w:t>
      </w:r>
      <w:r>
        <w:t xml:space="preserve"> exercise, we measured market and product experience by</w:t>
      </w:r>
      <w:r w:rsidRPr="00655771">
        <w:t xml:space="preserve"> the number of time</w:t>
      </w:r>
      <w:r>
        <w:t xml:space="preserve">s a market was served and the number of times a product was </w:t>
      </w:r>
      <w:r w:rsidR="00B706BB">
        <w:t xml:space="preserve">exported in </w:t>
      </w:r>
      <w:r w:rsidR="00B706BB" w:rsidRPr="00B706BB">
        <w:rPr>
          <w:i/>
        </w:rPr>
        <w:t>t-1</w:t>
      </w:r>
      <w:r>
        <w:t xml:space="preserve">, instead of a dummy to take into account the </w:t>
      </w:r>
      <w:r w:rsidR="00E04259">
        <w:t xml:space="preserve">degree of export </w:t>
      </w:r>
      <w:r>
        <w:t>experience</w:t>
      </w:r>
      <w:r w:rsidR="00B706BB">
        <w:t>.</w:t>
      </w:r>
      <w:r w:rsidR="00E04259">
        <w:t xml:space="preserve"> </w:t>
      </w:r>
    </w:p>
  </w:footnote>
  <w:footnote w:id="39">
    <w:p w:rsidR="002424CF" w:rsidRPr="00777BA2" w:rsidRDefault="002424CF">
      <w:pPr>
        <w:pStyle w:val="Notedebasdepage"/>
        <w:rPr>
          <w:lang w:val="en-GB"/>
        </w:rPr>
      </w:pPr>
      <w:r w:rsidRPr="000C3E62">
        <w:rPr>
          <w:rStyle w:val="Appelnotedebasdep"/>
        </w:rPr>
        <w:footnoteRef/>
      </w:r>
      <w:r w:rsidRPr="000C3E62">
        <w:t xml:space="preserve"> To ensure that our results are not driven by gold and cotton exports, we estimate as a robustness check all regressions but excluding gold and cotton exporters. The results of estimations concerning </w:t>
      </w:r>
      <w:r w:rsidRPr="000C3E62">
        <w:rPr>
          <w:rFonts w:cs="Helv"/>
          <w:color w:val="000000" w:themeColor="text1"/>
        </w:rPr>
        <w:t>the probability of exporting a new product, a new market and surviving are almost the same. This not surprising, as the dependent variable in each of these three estimations is not based on export values, but on a binary value (i.e. zero or one).</w:t>
      </w:r>
      <w:r w:rsidRPr="000C3E62">
        <w:t xml:space="preserve"> All the robustness estimations are available under request.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1D8A"/>
    <w:multiLevelType w:val="hybridMultilevel"/>
    <w:tmpl w:val="E184098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DC20995"/>
    <w:multiLevelType w:val="multilevel"/>
    <w:tmpl w:val="100C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nsid w:val="17D20BE4"/>
    <w:multiLevelType w:val="multilevel"/>
    <w:tmpl w:val="A6A813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E3801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1C6600F"/>
    <w:multiLevelType w:val="hybridMultilevel"/>
    <w:tmpl w:val="CE6EE28C"/>
    <w:lvl w:ilvl="0" w:tplc="C7DE2542">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7F0F50"/>
    <w:multiLevelType w:val="multilevel"/>
    <w:tmpl w:val="100C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nsid w:val="244C3A18"/>
    <w:multiLevelType w:val="multilevel"/>
    <w:tmpl w:val="1D4E9514"/>
    <w:lvl w:ilvl="0">
      <w:start w:val="1"/>
      <w:numFmt w:val="decimal"/>
      <w:pStyle w:val="Titre1"/>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7">
    <w:nsid w:val="27DF54A5"/>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nsid w:val="2D4C009F"/>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EBD4F8F"/>
    <w:multiLevelType w:val="hybridMultilevel"/>
    <w:tmpl w:val="EFD0B0F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nsid w:val="2ED30AE3"/>
    <w:multiLevelType w:val="hybridMultilevel"/>
    <w:tmpl w:val="CE6EE28C"/>
    <w:lvl w:ilvl="0" w:tplc="C7DE2542">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0B1604"/>
    <w:multiLevelType w:val="hybridMultilevel"/>
    <w:tmpl w:val="7F56A1C2"/>
    <w:lvl w:ilvl="0" w:tplc="100C0005">
      <w:start w:val="1"/>
      <w:numFmt w:val="bullet"/>
      <w:lvlText w:val=""/>
      <w:lvlJc w:val="left"/>
      <w:pPr>
        <w:ind w:left="720" w:hanging="360"/>
      </w:pPr>
      <w:rPr>
        <w:rFonts w:ascii="Wingdings" w:hAnsi="Wingdings" w:hint="default"/>
      </w:rPr>
    </w:lvl>
    <w:lvl w:ilvl="1" w:tplc="100C000B">
      <w:start w:val="1"/>
      <w:numFmt w:val="bullet"/>
      <w:lvlText w:val=""/>
      <w:lvlJc w:val="left"/>
      <w:pPr>
        <w:ind w:left="1440" w:hanging="360"/>
      </w:pPr>
      <w:rPr>
        <w:rFonts w:ascii="Wingdings" w:hAnsi="Wingdings"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32BC1328"/>
    <w:multiLevelType w:val="hybridMultilevel"/>
    <w:tmpl w:val="7998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346DA7"/>
    <w:multiLevelType w:val="hybridMultilevel"/>
    <w:tmpl w:val="D1A4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1C5BEA"/>
    <w:multiLevelType w:val="hybridMultilevel"/>
    <w:tmpl w:val="E8827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916D16"/>
    <w:multiLevelType w:val="hybridMultilevel"/>
    <w:tmpl w:val="5F469FA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6">
    <w:nsid w:val="3DCE4C2F"/>
    <w:multiLevelType w:val="hybridMultilevel"/>
    <w:tmpl w:val="BA5E2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A63691"/>
    <w:multiLevelType w:val="hybridMultilevel"/>
    <w:tmpl w:val="2292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443805"/>
    <w:multiLevelType w:val="multilevel"/>
    <w:tmpl w:val="4EF210E4"/>
    <w:lvl w:ilvl="0">
      <w:start w:val="1"/>
      <w:numFmt w:val="decimal"/>
      <w:pStyle w:val="Style1"/>
      <w:lvlText w:val="%1."/>
      <w:lvlJc w:val="left"/>
      <w:pPr>
        <w:ind w:left="360" w:hanging="360"/>
      </w:pPr>
    </w:lvl>
    <w:lvl w:ilvl="1">
      <w:start w:val="1"/>
      <w:numFmt w:val="decimal"/>
      <w:pStyle w:val="Styl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7D1592D"/>
    <w:multiLevelType w:val="multilevel"/>
    <w:tmpl w:val="A6A813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D8E78F2"/>
    <w:multiLevelType w:val="multilevel"/>
    <w:tmpl w:val="100C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nsid w:val="505D3C76"/>
    <w:multiLevelType w:val="multilevel"/>
    <w:tmpl w:val="B378B3C2"/>
    <w:lvl w:ilvl="0">
      <w:start w:val="1"/>
      <w:numFmt w:val="decimal"/>
      <w:lvlText w:val="%1."/>
      <w:lvlJc w:val="left"/>
      <w:pPr>
        <w:ind w:left="360" w:hanging="360"/>
      </w:pPr>
      <w:rPr>
        <w:rFonts w:ascii="Garamond" w:hAnsi="Garamond"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2390C9E"/>
    <w:multiLevelType w:val="multilevel"/>
    <w:tmpl w:val="A6A813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3440EB3"/>
    <w:multiLevelType w:val="multilevel"/>
    <w:tmpl w:val="A6A813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3453F81"/>
    <w:multiLevelType w:val="hybridMultilevel"/>
    <w:tmpl w:val="1398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5F23AE"/>
    <w:multiLevelType w:val="hybridMultilevel"/>
    <w:tmpl w:val="E698D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7B91CC5"/>
    <w:multiLevelType w:val="hybridMultilevel"/>
    <w:tmpl w:val="B5B4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F0D0C"/>
    <w:multiLevelType w:val="multilevel"/>
    <w:tmpl w:val="A6A813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5CE5D88"/>
    <w:multiLevelType w:val="hybridMultilevel"/>
    <w:tmpl w:val="3D80C63E"/>
    <w:lvl w:ilvl="0" w:tplc="7AC8DB94">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nsid w:val="6B6310A5"/>
    <w:multiLevelType w:val="multilevel"/>
    <w:tmpl w:val="1F52D466"/>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EC668F1"/>
    <w:multiLevelType w:val="hybridMultilevel"/>
    <w:tmpl w:val="721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72168D"/>
    <w:multiLevelType w:val="multilevel"/>
    <w:tmpl w:val="A6A813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2464630"/>
    <w:multiLevelType w:val="hybridMultilevel"/>
    <w:tmpl w:val="BC3E2948"/>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33">
    <w:nsid w:val="78982B93"/>
    <w:multiLevelType w:val="multilevel"/>
    <w:tmpl w:val="10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91B4259"/>
    <w:multiLevelType w:val="hybridMultilevel"/>
    <w:tmpl w:val="904C4390"/>
    <w:lvl w:ilvl="0" w:tplc="8118183E">
      <w:start w:val="1"/>
      <w:numFmt w:val="bullet"/>
      <w:lvlText w:val=""/>
      <w:lvlJc w:val="left"/>
      <w:pPr>
        <w:ind w:left="720" w:hanging="360"/>
      </w:pPr>
      <w:rPr>
        <w:rFonts w:ascii="Wingdings" w:hAnsi="Wingdings" w:hint="default"/>
        <w:sz w:val="28"/>
        <w:szCs w:val="28"/>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nsid w:val="79F32ED4"/>
    <w:multiLevelType w:val="multilevel"/>
    <w:tmpl w:val="BCB863FA"/>
    <w:lvl w:ilvl="0">
      <w:start w:val="1"/>
      <w:numFmt w:val="decimal"/>
      <w:lvlText w:val="%1."/>
      <w:lvlJc w:val="left"/>
      <w:pPr>
        <w:ind w:left="720" w:hanging="360"/>
      </w:pPr>
      <w:rPr>
        <w:rFonts w:hint="default"/>
      </w:rPr>
    </w:lvl>
    <w:lvl w:ilvl="1">
      <w:start w:val="1"/>
      <w:numFmt w:val="decimal"/>
      <w:lvlText w:val="%1.%2."/>
      <w:lvlJc w:val="left"/>
      <w:pPr>
        <w:ind w:left="1368" w:hanging="648"/>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6">
    <w:nsid w:val="7B8F74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BEA26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F1050F3"/>
    <w:multiLevelType w:val="hybridMultilevel"/>
    <w:tmpl w:val="6BC8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9"/>
  </w:num>
  <w:num w:numId="4">
    <w:abstractNumId w:val="18"/>
    <w:lvlOverride w:ilvl="0">
      <w:lvl w:ilvl="0">
        <w:start w:val="1"/>
        <w:numFmt w:val="decimal"/>
        <w:pStyle w:val="Style1"/>
        <w:lvlText w:val="%1."/>
        <w:lvlJc w:val="left"/>
        <w:pPr>
          <w:ind w:left="502" w:hanging="360"/>
        </w:pPr>
        <w:rPr>
          <w:rFonts w:hint="default"/>
        </w:rPr>
      </w:lvl>
    </w:lvlOverride>
    <w:lvlOverride w:ilvl="1">
      <w:lvl w:ilvl="1">
        <w:start w:val="1"/>
        <w:numFmt w:val="decimal"/>
        <w:pStyle w:val="Style2"/>
        <w:lvlText w:val="%1.%2. "/>
        <w:lvlJc w:val="left"/>
        <w:pPr>
          <w:ind w:left="936" w:hanging="576"/>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8"/>
    <w:lvlOverride w:ilvl="0">
      <w:lvl w:ilvl="0">
        <w:start w:val="1"/>
        <w:numFmt w:val="decimal"/>
        <w:pStyle w:val="Style1"/>
        <w:lvlText w:val="%1."/>
        <w:lvlJc w:val="left"/>
        <w:pPr>
          <w:ind w:left="360" w:hanging="360"/>
        </w:pPr>
        <w:rPr>
          <w:rFonts w:hint="default"/>
        </w:rPr>
      </w:lvl>
    </w:lvlOverride>
    <w:lvlOverride w:ilvl="1">
      <w:lvl w:ilvl="1">
        <w:start w:val="1"/>
        <w:numFmt w:val="decimal"/>
        <w:pStyle w:val="Style2"/>
        <w:lvlText w:val="%1.%2."/>
        <w:lvlJc w:val="left"/>
        <w:pPr>
          <w:ind w:left="936" w:hanging="576"/>
        </w:pPr>
        <w:rPr>
          <w:b/>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6"/>
  </w:num>
  <w:num w:numId="7">
    <w:abstractNumId w:val="33"/>
  </w:num>
  <w:num w:numId="8">
    <w:abstractNumId w:val="21"/>
  </w:num>
  <w:num w:numId="9">
    <w:abstractNumId w:val="7"/>
  </w:num>
  <w:num w:numId="10">
    <w:abstractNumId w:val="3"/>
  </w:num>
  <w:num w:numId="11">
    <w:abstractNumId w:val="36"/>
  </w:num>
  <w:num w:numId="12">
    <w:abstractNumId w:val="37"/>
  </w:num>
  <w:num w:numId="13">
    <w:abstractNumId w:val="22"/>
  </w:num>
  <w:num w:numId="14">
    <w:abstractNumId w:val="27"/>
  </w:num>
  <w:num w:numId="15">
    <w:abstractNumId w:val="23"/>
  </w:num>
  <w:num w:numId="16">
    <w:abstractNumId w:val="35"/>
  </w:num>
  <w:num w:numId="17">
    <w:abstractNumId w:val="16"/>
  </w:num>
  <w:num w:numId="18">
    <w:abstractNumId w:val="13"/>
  </w:num>
  <w:num w:numId="19">
    <w:abstractNumId w:val="17"/>
  </w:num>
  <w:num w:numId="20">
    <w:abstractNumId w:val="9"/>
  </w:num>
  <w:num w:numId="21">
    <w:abstractNumId w:val="12"/>
  </w:num>
  <w:num w:numId="22">
    <w:abstractNumId w:val="8"/>
  </w:num>
  <w:num w:numId="23">
    <w:abstractNumId w:val="5"/>
  </w:num>
  <w:num w:numId="24">
    <w:abstractNumId w:val="1"/>
  </w:num>
  <w:num w:numId="25">
    <w:abstractNumId w:val="20"/>
  </w:num>
  <w:num w:numId="26">
    <w:abstractNumId w:val="14"/>
  </w:num>
  <w:num w:numId="27">
    <w:abstractNumId w:val="26"/>
  </w:num>
  <w:num w:numId="28">
    <w:abstractNumId w:val="31"/>
  </w:num>
  <w:num w:numId="29">
    <w:abstractNumId w:val="4"/>
  </w:num>
  <w:num w:numId="30">
    <w:abstractNumId w:val="2"/>
  </w:num>
  <w:num w:numId="31">
    <w:abstractNumId w:val="30"/>
  </w:num>
  <w:num w:numId="32">
    <w:abstractNumId w:val="19"/>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4"/>
  </w:num>
  <w:num w:numId="36">
    <w:abstractNumId w:val="38"/>
  </w:num>
  <w:num w:numId="37">
    <w:abstractNumId w:val="18"/>
    <w:lvlOverride w:ilvl="0">
      <w:startOverride w:val="1"/>
      <w:lvl w:ilvl="0">
        <w:start w:val="1"/>
        <w:numFmt w:val="decimal"/>
        <w:pStyle w:val="Style1"/>
        <w:lvlText w:val="%1."/>
        <w:lvlJc w:val="left"/>
        <w:pPr>
          <w:ind w:left="360" w:hanging="360"/>
        </w:pPr>
        <w:rPr>
          <w:rFonts w:hint="default"/>
        </w:rPr>
      </w:lvl>
    </w:lvlOverride>
    <w:lvlOverride w:ilvl="1">
      <w:startOverride w:val="1"/>
      <w:lvl w:ilvl="1">
        <w:start w:val="1"/>
        <w:numFmt w:val="decimal"/>
        <w:pStyle w:val="Style2"/>
        <w:lvlText w:val="%1.%2."/>
        <w:lvlJc w:val="left"/>
        <w:pPr>
          <w:ind w:left="936" w:hanging="576"/>
        </w:pPr>
        <w:rPr>
          <w:rFonts w:hint="default"/>
          <w:b/>
        </w:rPr>
      </w:lvl>
    </w:lvlOverride>
    <w:lvlOverride w:ilvl="2">
      <w:startOverride w:val="1"/>
      <w:lvl w:ilvl="2">
        <w:start w:val="1"/>
        <w:numFmt w:val="decimal"/>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38">
    <w:abstractNumId w:val="25"/>
  </w:num>
  <w:num w:numId="39">
    <w:abstractNumId w:val="34"/>
  </w:num>
  <w:num w:numId="40">
    <w:abstractNumId w:val="11"/>
  </w:num>
  <w:num w:numId="41">
    <w:abstractNumId w:val="0"/>
  </w:num>
  <w:num w:numId="42">
    <w:abstractNumId w:val="18"/>
    <w:lvlOverride w:ilvl="0">
      <w:startOverride w:val="1"/>
      <w:lvl w:ilvl="0">
        <w:start w:val="1"/>
        <w:numFmt w:val="decimal"/>
        <w:pStyle w:val="Style1"/>
        <w:lvlText w:val="%1."/>
        <w:lvlJc w:val="left"/>
        <w:pPr>
          <w:ind w:left="502" w:hanging="360"/>
        </w:pPr>
        <w:rPr>
          <w:rFonts w:hint="default"/>
        </w:rPr>
      </w:lvl>
    </w:lvlOverride>
    <w:lvlOverride w:ilvl="1">
      <w:startOverride w:val="1"/>
      <w:lvl w:ilvl="1">
        <w:start w:val="1"/>
        <w:numFmt w:val="decimal"/>
        <w:pStyle w:val="Style2"/>
        <w:lvlText w:val="%1.%2. "/>
        <w:lvlJc w:val="left"/>
        <w:pPr>
          <w:ind w:left="936" w:hanging="576"/>
        </w:pPr>
        <w:rPr>
          <w:rFonts w:hint="default"/>
        </w:rPr>
      </w:lvl>
    </w:lvlOverride>
    <w:lvlOverride w:ilvl="2">
      <w:startOverride w:val="1"/>
      <w:lvl w:ilvl="2">
        <w:start w:val="1"/>
        <w:numFmt w:val="decimal"/>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43">
    <w:abstractNumId w:val="18"/>
    <w:lvlOverride w:ilvl="0">
      <w:startOverride w:val="1"/>
      <w:lvl w:ilvl="0">
        <w:start w:val="1"/>
        <w:numFmt w:val="decimal"/>
        <w:pStyle w:val="Style1"/>
        <w:lvlText w:val="%1"/>
        <w:lvlJc w:val="left"/>
      </w:lvl>
    </w:lvlOverride>
    <w:lvlOverride w:ilvl="1">
      <w:startOverride w:val="1"/>
      <w:lvl w:ilvl="1">
        <w:start w:val="1"/>
        <w:numFmt w:val="decimal"/>
        <w:pStyle w:val="Style2"/>
        <w:lvlText w:val="%1ㆀ%՘"/>
        <w:lvlJc w:val="left"/>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ye%d%n% 3"/>
        <w:lvlJc w:val="left"/>
        <w:pPr>
          <w:ind w:left="1728" w:hanging="648"/>
        </w:pPr>
      </w:lvl>
    </w:lvlOverride>
    <w:lvlOverride w:ilvl="4">
      <w:startOverride w:val="1"/>
      <w:lvl w:ilvl="4">
        <w:start w:val="1"/>
        <w:numFmt w:val="decimal"/>
        <w:lvlText w:val="%1%1%1%1%1反"/>
        <w:lvlJc w:val="left"/>
        <w:pPr>
          <w:ind w:left="2232" w:hanging="792"/>
        </w:pPr>
      </w:lvl>
    </w:lvlOverride>
    <w:lvlOverride w:ilvl="5">
      <w:startOverride w:val="1"/>
      <w:lvl w:ilvl="5">
        <w:start w:val="1"/>
        <w:numFmt w:val="decimal"/>
        <w:lvlText w:val="%1%1%1%1%1%1"/>
        <w:lvlJc w:val="left"/>
        <w:pPr>
          <w:ind w:left="2736" w:hanging="936"/>
        </w:pPr>
      </w:lvl>
    </w:lvlOverride>
    <w:lvlOverride w:ilvl="6">
      <w:startOverride w:val="1"/>
      <w:lvl w:ilvl="6">
        <w:start w:val="1"/>
        <w:numFmt w:val="decimal"/>
        <w:lvlText w:val="%1%1%1%1%1%1%1"/>
        <w:lvlJc w:val="left"/>
        <w:pPr>
          <w:ind w:left="3240" w:hanging="1080"/>
        </w:pPr>
      </w:lvl>
    </w:lvlOverride>
    <w:lvlOverride w:ilvl="7">
      <w:startOverride w:val="1"/>
      <w:lvl w:ilvl="7">
        <w:start w:val="1"/>
        <w:numFmt w:val="decimal"/>
        <w:lvlText w:val="%%1I%¤k% o%a%QP% t%f趣OIsko"/>
        <w:lvlJc w:val="left"/>
        <w:pPr>
          <w:ind w:left="3744" w:hanging="1224"/>
        </w:pPr>
      </w:lvl>
    </w:lvlOverride>
    <w:lvlOverride w:ilvl="8">
      <w:startOverride w:val="1"/>
      <w:lvl w:ilvl="8">
        <w:start w:val="1"/>
        <w:numFmt w:val="decimal"/>
        <w:lvlText w:val="%%1M% n%o%i%n%QB%i%¥i"/>
        <w:lvlJc w:val="left"/>
        <w:pPr>
          <w:ind w:left="4320" w:hanging="1440"/>
        </w:pPr>
      </w:lvl>
    </w:lvlOverride>
  </w:num>
  <w:num w:numId="44">
    <w:abstractNumId w:val="18"/>
    <w:lvlOverride w:ilvl="0">
      <w:startOverride w:val="1"/>
      <w:lvl w:ilvl="0">
        <w:start w:val="1"/>
        <w:numFmt w:val="decimal"/>
        <w:pStyle w:val="Style1"/>
        <w:lvlText w:val="%1."/>
        <w:lvlJc w:val="left"/>
        <w:pPr>
          <w:ind w:left="360" w:hanging="360"/>
        </w:pPr>
        <w:rPr>
          <w:rFonts w:hint="default"/>
        </w:rPr>
      </w:lvl>
    </w:lvlOverride>
    <w:lvlOverride w:ilvl="1">
      <w:startOverride w:val="1"/>
      <w:lvl w:ilvl="1">
        <w:start w:val="1"/>
        <w:numFmt w:val="decimal"/>
        <w:pStyle w:val="Style2"/>
        <w:lvlText w:val="%1.%2."/>
        <w:lvlJc w:val="left"/>
        <w:pPr>
          <w:ind w:left="936" w:hanging="576"/>
        </w:pPr>
        <w:rPr>
          <w:rFonts w:hint="default"/>
          <w:b/>
        </w:rPr>
      </w:lvl>
    </w:lvlOverride>
    <w:lvlOverride w:ilvl="2">
      <w:startOverride w:val="1"/>
      <w:lvl w:ilvl="2">
        <w:start w:val="1"/>
        <w:numFmt w:val="decimal"/>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45">
    <w:abstractNumId w:val="18"/>
    <w:lvlOverride w:ilvl="0">
      <w:startOverride w:val="1"/>
      <w:lvl w:ilvl="0">
        <w:start w:val="1"/>
        <w:numFmt w:val="decimal"/>
        <w:pStyle w:val="Style1"/>
        <w:lvlText w:val="%1."/>
        <w:lvlJc w:val="left"/>
        <w:pPr>
          <w:ind w:left="360" w:hanging="360"/>
        </w:pPr>
        <w:rPr>
          <w:rFonts w:hint="default"/>
        </w:rPr>
      </w:lvl>
    </w:lvlOverride>
    <w:lvlOverride w:ilvl="1">
      <w:startOverride w:val="1"/>
      <w:lvl w:ilvl="1">
        <w:start w:val="1"/>
        <w:numFmt w:val="decimal"/>
        <w:pStyle w:val="Style2"/>
        <w:lvlText w:val="%1.%2."/>
        <w:lvlJc w:val="left"/>
        <w:pPr>
          <w:ind w:left="936" w:hanging="576"/>
        </w:pPr>
        <w:rPr>
          <w:rFonts w:hint="default"/>
          <w:b/>
        </w:rPr>
      </w:lvl>
    </w:lvlOverride>
    <w:lvlOverride w:ilvl="2">
      <w:startOverride w:val="1"/>
      <w:lvl w:ilvl="2">
        <w:start w:val="1"/>
        <w:numFmt w:val="decimal"/>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46">
    <w:abstractNumId w:val="18"/>
    <w:lvlOverride w:ilvl="0">
      <w:startOverride w:val="1"/>
      <w:lvl w:ilvl="0">
        <w:start w:val="1"/>
        <w:numFmt w:val="decimal"/>
        <w:pStyle w:val="Style1"/>
        <w:lvlText w:val="%1."/>
        <w:lvlJc w:val="left"/>
        <w:pPr>
          <w:ind w:left="360" w:hanging="360"/>
        </w:pPr>
        <w:rPr>
          <w:rFonts w:hint="default"/>
        </w:rPr>
      </w:lvl>
    </w:lvlOverride>
    <w:lvlOverride w:ilvl="1">
      <w:startOverride w:val="1"/>
      <w:lvl w:ilvl="1">
        <w:start w:val="1"/>
        <w:numFmt w:val="decimal"/>
        <w:pStyle w:val="Style2"/>
        <w:lvlText w:val="%1.%2."/>
        <w:lvlJc w:val="left"/>
        <w:pPr>
          <w:ind w:left="936" w:hanging="576"/>
        </w:pPr>
      </w:lvl>
    </w:lvlOverride>
    <w:lvlOverride w:ilvl="2">
      <w:startOverride w:val="1"/>
      <w:lvl w:ilvl="2">
        <w:start w:val="1"/>
        <w:numFmt w:val="decimal"/>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47">
    <w:abstractNumId w:val="15"/>
  </w:num>
  <w:num w:numId="48">
    <w:abstractNumId w:val="28"/>
  </w:num>
  <w:num w:numId="49">
    <w:abstractNumId w:val="18"/>
    <w:lvlOverride w:ilvl="0">
      <w:lvl w:ilvl="0">
        <w:start w:val="1"/>
        <w:numFmt w:val="decimal"/>
        <w:pStyle w:val="Style1"/>
        <w:lvlText w:val="%1."/>
        <w:lvlJc w:val="left"/>
        <w:pPr>
          <w:ind w:left="502" w:hanging="360"/>
        </w:pPr>
        <w:rPr>
          <w:rFonts w:hint="default"/>
        </w:rPr>
      </w:lvl>
    </w:lvlOverride>
    <w:lvlOverride w:ilvl="1">
      <w:lvl w:ilvl="1">
        <w:start w:val="1"/>
        <w:numFmt w:val="decimal"/>
        <w:pStyle w:val="Style2"/>
        <w:lvlText w:val="%1.%2. "/>
        <w:lvlJc w:val="left"/>
        <w:pPr>
          <w:ind w:left="936" w:hanging="576"/>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0">
    <w:abstractNumId w:val="18"/>
    <w:lvlOverride w:ilvl="0">
      <w:lvl w:ilvl="0">
        <w:start w:val="1"/>
        <w:numFmt w:val="decimal"/>
        <w:pStyle w:val="Style1"/>
        <w:lvlText w:val="%1."/>
        <w:lvlJc w:val="left"/>
        <w:pPr>
          <w:ind w:left="360" w:hanging="360"/>
        </w:pPr>
        <w:rPr>
          <w:rFonts w:hint="default"/>
        </w:rPr>
      </w:lvl>
    </w:lvlOverride>
    <w:lvlOverride w:ilvl="1">
      <w:lvl w:ilvl="1">
        <w:start w:val="1"/>
        <w:numFmt w:val="decimal"/>
        <w:pStyle w:val="Style2"/>
        <w:lvlText w:val="%1.%2."/>
        <w:lvlJc w:val="left"/>
        <w:pPr>
          <w:ind w:left="936" w:hanging="576"/>
        </w:pPr>
        <w:rPr>
          <w:b/>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hyphenationZone w:val="425"/>
  <w:drawingGridHorizontalSpacing w:val="110"/>
  <w:displayHorizontalDrawingGridEvery w:val="2"/>
  <w:characterSpacingControl w:val="doNotCompress"/>
  <w:hdrShapeDefaults>
    <o:shapedefaults v:ext="edit" spidmax="80898"/>
  </w:hdrShapeDefaults>
  <w:footnotePr>
    <w:footnote w:id="-1"/>
    <w:footnote w:id="0"/>
    <w:footnote w:id="1"/>
  </w:footnotePr>
  <w:endnotePr>
    <w:endnote w:id="-1"/>
    <w:endnote w:id="0"/>
  </w:endnotePr>
  <w:compat/>
  <w:rsids>
    <w:rsidRoot w:val="00446A29"/>
    <w:rsid w:val="00000361"/>
    <w:rsid w:val="000009AC"/>
    <w:rsid w:val="000028CA"/>
    <w:rsid w:val="00002A4C"/>
    <w:rsid w:val="00004979"/>
    <w:rsid w:val="0000505E"/>
    <w:rsid w:val="000053D8"/>
    <w:rsid w:val="000071EF"/>
    <w:rsid w:val="00007403"/>
    <w:rsid w:val="000075A7"/>
    <w:rsid w:val="000076B9"/>
    <w:rsid w:val="0000776F"/>
    <w:rsid w:val="000105B4"/>
    <w:rsid w:val="00010A04"/>
    <w:rsid w:val="00011057"/>
    <w:rsid w:val="0001120F"/>
    <w:rsid w:val="00011558"/>
    <w:rsid w:val="00011AFC"/>
    <w:rsid w:val="00011C67"/>
    <w:rsid w:val="00011E28"/>
    <w:rsid w:val="00012320"/>
    <w:rsid w:val="00013973"/>
    <w:rsid w:val="00013B2B"/>
    <w:rsid w:val="00013BA0"/>
    <w:rsid w:val="000143F6"/>
    <w:rsid w:val="0001492B"/>
    <w:rsid w:val="0001534D"/>
    <w:rsid w:val="000154B2"/>
    <w:rsid w:val="0001586F"/>
    <w:rsid w:val="00015922"/>
    <w:rsid w:val="000160E5"/>
    <w:rsid w:val="000164D9"/>
    <w:rsid w:val="00016E3B"/>
    <w:rsid w:val="00016ED6"/>
    <w:rsid w:val="000179C3"/>
    <w:rsid w:val="00020C44"/>
    <w:rsid w:val="00020E26"/>
    <w:rsid w:val="00020F1A"/>
    <w:rsid w:val="00021694"/>
    <w:rsid w:val="000217CB"/>
    <w:rsid w:val="00021A3A"/>
    <w:rsid w:val="000220B5"/>
    <w:rsid w:val="00022729"/>
    <w:rsid w:val="00023710"/>
    <w:rsid w:val="00025C0F"/>
    <w:rsid w:val="00027ED4"/>
    <w:rsid w:val="000300AC"/>
    <w:rsid w:val="000304E3"/>
    <w:rsid w:val="0003119C"/>
    <w:rsid w:val="000314D4"/>
    <w:rsid w:val="0003163A"/>
    <w:rsid w:val="00032026"/>
    <w:rsid w:val="00032375"/>
    <w:rsid w:val="000327C8"/>
    <w:rsid w:val="00032997"/>
    <w:rsid w:val="00032A05"/>
    <w:rsid w:val="000330C7"/>
    <w:rsid w:val="00033A59"/>
    <w:rsid w:val="00034064"/>
    <w:rsid w:val="00034D85"/>
    <w:rsid w:val="00034FE8"/>
    <w:rsid w:val="0003506F"/>
    <w:rsid w:val="00036501"/>
    <w:rsid w:val="00036C48"/>
    <w:rsid w:val="000371EC"/>
    <w:rsid w:val="00040096"/>
    <w:rsid w:val="000419B7"/>
    <w:rsid w:val="00041FD6"/>
    <w:rsid w:val="00042361"/>
    <w:rsid w:val="000423C7"/>
    <w:rsid w:val="00042912"/>
    <w:rsid w:val="00042BD1"/>
    <w:rsid w:val="00043239"/>
    <w:rsid w:val="000433E6"/>
    <w:rsid w:val="0004396C"/>
    <w:rsid w:val="000439E1"/>
    <w:rsid w:val="00043F39"/>
    <w:rsid w:val="0004414B"/>
    <w:rsid w:val="0004417F"/>
    <w:rsid w:val="00044868"/>
    <w:rsid w:val="00044F03"/>
    <w:rsid w:val="00045CA1"/>
    <w:rsid w:val="00046980"/>
    <w:rsid w:val="00046BF6"/>
    <w:rsid w:val="00046D85"/>
    <w:rsid w:val="000471FF"/>
    <w:rsid w:val="0004784A"/>
    <w:rsid w:val="000478F8"/>
    <w:rsid w:val="00047FD5"/>
    <w:rsid w:val="000522C4"/>
    <w:rsid w:val="000522DC"/>
    <w:rsid w:val="00052896"/>
    <w:rsid w:val="0005299F"/>
    <w:rsid w:val="00052A7C"/>
    <w:rsid w:val="00052BDE"/>
    <w:rsid w:val="00052C1C"/>
    <w:rsid w:val="0005343B"/>
    <w:rsid w:val="00053969"/>
    <w:rsid w:val="00053EB3"/>
    <w:rsid w:val="000548D7"/>
    <w:rsid w:val="00054CAA"/>
    <w:rsid w:val="00054D1C"/>
    <w:rsid w:val="00054FBC"/>
    <w:rsid w:val="000553AB"/>
    <w:rsid w:val="0005551F"/>
    <w:rsid w:val="00055A84"/>
    <w:rsid w:val="00056096"/>
    <w:rsid w:val="00056F60"/>
    <w:rsid w:val="000603EA"/>
    <w:rsid w:val="0006048E"/>
    <w:rsid w:val="0006051C"/>
    <w:rsid w:val="000606AE"/>
    <w:rsid w:val="00060FC0"/>
    <w:rsid w:val="000610DD"/>
    <w:rsid w:val="000612E9"/>
    <w:rsid w:val="000614CE"/>
    <w:rsid w:val="00061669"/>
    <w:rsid w:val="0006188C"/>
    <w:rsid w:val="00061EAC"/>
    <w:rsid w:val="00062060"/>
    <w:rsid w:val="0006271C"/>
    <w:rsid w:val="00062E86"/>
    <w:rsid w:val="00064344"/>
    <w:rsid w:val="000643FD"/>
    <w:rsid w:val="00064E60"/>
    <w:rsid w:val="00065156"/>
    <w:rsid w:val="00066018"/>
    <w:rsid w:val="000665D7"/>
    <w:rsid w:val="00066611"/>
    <w:rsid w:val="000668BB"/>
    <w:rsid w:val="00066C15"/>
    <w:rsid w:val="00067335"/>
    <w:rsid w:val="000675CC"/>
    <w:rsid w:val="000679AA"/>
    <w:rsid w:val="00067BBD"/>
    <w:rsid w:val="000703AC"/>
    <w:rsid w:val="00070999"/>
    <w:rsid w:val="00070FD1"/>
    <w:rsid w:val="00071033"/>
    <w:rsid w:val="0007125C"/>
    <w:rsid w:val="000713FA"/>
    <w:rsid w:val="000717B6"/>
    <w:rsid w:val="00071BB2"/>
    <w:rsid w:val="00072040"/>
    <w:rsid w:val="00072611"/>
    <w:rsid w:val="00073495"/>
    <w:rsid w:val="00074088"/>
    <w:rsid w:val="00074209"/>
    <w:rsid w:val="000743D4"/>
    <w:rsid w:val="00074536"/>
    <w:rsid w:val="000747BE"/>
    <w:rsid w:val="0007535B"/>
    <w:rsid w:val="0007548B"/>
    <w:rsid w:val="0007660A"/>
    <w:rsid w:val="00077060"/>
    <w:rsid w:val="00077322"/>
    <w:rsid w:val="00077379"/>
    <w:rsid w:val="0007782F"/>
    <w:rsid w:val="000806BA"/>
    <w:rsid w:val="00080E8C"/>
    <w:rsid w:val="00080EBD"/>
    <w:rsid w:val="000815B0"/>
    <w:rsid w:val="0008257A"/>
    <w:rsid w:val="000826D7"/>
    <w:rsid w:val="00082B8C"/>
    <w:rsid w:val="00082DB1"/>
    <w:rsid w:val="00084034"/>
    <w:rsid w:val="000847F2"/>
    <w:rsid w:val="00085134"/>
    <w:rsid w:val="0008607E"/>
    <w:rsid w:val="00086E38"/>
    <w:rsid w:val="00087386"/>
    <w:rsid w:val="000876BA"/>
    <w:rsid w:val="00087751"/>
    <w:rsid w:val="00087A55"/>
    <w:rsid w:val="00090A05"/>
    <w:rsid w:val="000918E2"/>
    <w:rsid w:val="00092A23"/>
    <w:rsid w:val="00092C5A"/>
    <w:rsid w:val="0009318C"/>
    <w:rsid w:val="00093278"/>
    <w:rsid w:val="0009333F"/>
    <w:rsid w:val="00093478"/>
    <w:rsid w:val="00093BB7"/>
    <w:rsid w:val="00094092"/>
    <w:rsid w:val="000947D2"/>
    <w:rsid w:val="00094D7C"/>
    <w:rsid w:val="0009561E"/>
    <w:rsid w:val="00095EFA"/>
    <w:rsid w:val="00096E6A"/>
    <w:rsid w:val="00096F44"/>
    <w:rsid w:val="00096FAE"/>
    <w:rsid w:val="000971C6"/>
    <w:rsid w:val="000978DA"/>
    <w:rsid w:val="00097A60"/>
    <w:rsid w:val="00097DD2"/>
    <w:rsid w:val="00097EEF"/>
    <w:rsid w:val="000A0358"/>
    <w:rsid w:val="000A06D0"/>
    <w:rsid w:val="000A0B2A"/>
    <w:rsid w:val="000A1493"/>
    <w:rsid w:val="000A1961"/>
    <w:rsid w:val="000A2040"/>
    <w:rsid w:val="000A225E"/>
    <w:rsid w:val="000A2746"/>
    <w:rsid w:val="000A3C5B"/>
    <w:rsid w:val="000A3D4E"/>
    <w:rsid w:val="000A46B9"/>
    <w:rsid w:val="000A486A"/>
    <w:rsid w:val="000A4B19"/>
    <w:rsid w:val="000A5ECA"/>
    <w:rsid w:val="000A62C1"/>
    <w:rsid w:val="000A65F9"/>
    <w:rsid w:val="000A6DD2"/>
    <w:rsid w:val="000A6E1A"/>
    <w:rsid w:val="000A6E22"/>
    <w:rsid w:val="000A6FB6"/>
    <w:rsid w:val="000A7C60"/>
    <w:rsid w:val="000A7CA7"/>
    <w:rsid w:val="000A7D1E"/>
    <w:rsid w:val="000B0187"/>
    <w:rsid w:val="000B08CD"/>
    <w:rsid w:val="000B0D23"/>
    <w:rsid w:val="000B1B9A"/>
    <w:rsid w:val="000B206A"/>
    <w:rsid w:val="000B242A"/>
    <w:rsid w:val="000B28CA"/>
    <w:rsid w:val="000B2909"/>
    <w:rsid w:val="000B2C97"/>
    <w:rsid w:val="000B4A24"/>
    <w:rsid w:val="000B5119"/>
    <w:rsid w:val="000B59C5"/>
    <w:rsid w:val="000B5CDE"/>
    <w:rsid w:val="000B67A0"/>
    <w:rsid w:val="000B7099"/>
    <w:rsid w:val="000B7233"/>
    <w:rsid w:val="000B757C"/>
    <w:rsid w:val="000B764F"/>
    <w:rsid w:val="000B7944"/>
    <w:rsid w:val="000C18F2"/>
    <w:rsid w:val="000C1F23"/>
    <w:rsid w:val="000C207F"/>
    <w:rsid w:val="000C27AC"/>
    <w:rsid w:val="000C2D23"/>
    <w:rsid w:val="000C3B5C"/>
    <w:rsid w:val="000C3E62"/>
    <w:rsid w:val="000C3F78"/>
    <w:rsid w:val="000C40B7"/>
    <w:rsid w:val="000C4C60"/>
    <w:rsid w:val="000C522F"/>
    <w:rsid w:val="000C523B"/>
    <w:rsid w:val="000C565A"/>
    <w:rsid w:val="000C5CB1"/>
    <w:rsid w:val="000C5FE3"/>
    <w:rsid w:val="000C62E2"/>
    <w:rsid w:val="000C70DE"/>
    <w:rsid w:val="000C72C4"/>
    <w:rsid w:val="000C731A"/>
    <w:rsid w:val="000C772C"/>
    <w:rsid w:val="000C79C7"/>
    <w:rsid w:val="000C7E04"/>
    <w:rsid w:val="000C7F20"/>
    <w:rsid w:val="000D0031"/>
    <w:rsid w:val="000D0057"/>
    <w:rsid w:val="000D05F1"/>
    <w:rsid w:val="000D0812"/>
    <w:rsid w:val="000D0917"/>
    <w:rsid w:val="000D1270"/>
    <w:rsid w:val="000D23AF"/>
    <w:rsid w:val="000D3602"/>
    <w:rsid w:val="000D38E3"/>
    <w:rsid w:val="000D39F3"/>
    <w:rsid w:val="000D3AC2"/>
    <w:rsid w:val="000D3BBD"/>
    <w:rsid w:val="000D4584"/>
    <w:rsid w:val="000D4CA9"/>
    <w:rsid w:val="000D6104"/>
    <w:rsid w:val="000D6753"/>
    <w:rsid w:val="000D68BD"/>
    <w:rsid w:val="000D743B"/>
    <w:rsid w:val="000D7728"/>
    <w:rsid w:val="000E00BB"/>
    <w:rsid w:val="000E05E3"/>
    <w:rsid w:val="000E1174"/>
    <w:rsid w:val="000E168A"/>
    <w:rsid w:val="000E188F"/>
    <w:rsid w:val="000E1E93"/>
    <w:rsid w:val="000E2831"/>
    <w:rsid w:val="000E32F4"/>
    <w:rsid w:val="000E3B64"/>
    <w:rsid w:val="000E3B6E"/>
    <w:rsid w:val="000E3C36"/>
    <w:rsid w:val="000E43BE"/>
    <w:rsid w:val="000E444E"/>
    <w:rsid w:val="000E4C13"/>
    <w:rsid w:val="000E4EFE"/>
    <w:rsid w:val="000E52D6"/>
    <w:rsid w:val="000E60FF"/>
    <w:rsid w:val="000E6AF8"/>
    <w:rsid w:val="000E6C9C"/>
    <w:rsid w:val="000E70E4"/>
    <w:rsid w:val="000E783D"/>
    <w:rsid w:val="000E78C0"/>
    <w:rsid w:val="000F0FDA"/>
    <w:rsid w:val="000F120C"/>
    <w:rsid w:val="000F177D"/>
    <w:rsid w:val="000F1A80"/>
    <w:rsid w:val="000F20AF"/>
    <w:rsid w:val="000F27E7"/>
    <w:rsid w:val="000F2A29"/>
    <w:rsid w:val="000F2A84"/>
    <w:rsid w:val="000F2BA0"/>
    <w:rsid w:val="000F3A7D"/>
    <w:rsid w:val="000F3C6B"/>
    <w:rsid w:val="000F4628"/>
    <w:rsid w:val="000F56FC"/>
    <w:rsid w:val="000F58CF"/>
    <w:rsid w:val="000F595F"/>
    <w:rsid w:val="000F59D8"/>
    <w:rsid w:val="000F5C14"/>
    <w:rsid w:val="000F5D55"/>
    <w:rsid w:val="000F5DAA"/>
    <w:rsid w:val="000F5DDF"/>
    <w:rsid w:val="000F7307"/>
    <w:rsid w:val="000F7504"/>
    <w:rsid w:val="000F7919"/>
    <w:rsid w:val="00100B79"/>
    <w:rsid w:val="00100CBA"/>
    <w:rsid w:val="00101841"/>
    <w:rsid w:val="001018AF"/>
    <w:rsid w:val="0010235A"/>
    <w:rsid w:val="001032DD"/>
    <w:rsid w:val="001034A2"/>
    <w:rsid w:val="001034E2"/>
    <w:rsid w:val="00103C91"/>
    <w:rsid w:val="00103F82"/>
    <w:rsid w:val="001043A7"/>
    <w:rsid w:val="0010491B"/>
    <w:rsid w:val="001054C3"/>
    <w:rsid w:val="00106460"/>
    <w:rsid w:val="00107025"/>
    <w:rsid w:val="001073A5"/>
    <w:rsid w:val="00107C37"/>
    <w:rsid w:val="001108C9"/>
    <w:rsid w:val="001112C7"/>
    <w:rsid w:val="00111419"/>
    <w:rsid w:val="001114DE"/>
    <w:rsid w:val="001117DE"/>
    <w:rsid w:val="00111869"/>
    <w:rsid w:val="00112F92"/>
    <w:rsid w:val="0011328A"/>
    <w:rsid w:val="00113422"/>
    <w:rsid w:val="00113B83"/>
    <w:rsid w:val="00113C42"/>
    <w:rsid w:val="00114371"/>
    <w:rsid w:val="00114790"/>
    <w:rsid w:val="00114913"/>
    <w:rsid w:val="0011564E"/>
    <w:rsid w:val="0011590F"/>
    <w:rsid w:val="00115949"/>
    <w:rsid w:val="00115C60"/>
    <w:rsid w:val="0011602D"/>
    <w:rsid w:val="001162BF"/>
    <w:rsid w:val="001169BC"/>
    <w:rsid w:val="0011757D"/>
    <w:rsid w:val="001178AE"/>
    <w:rsid w:val="00117C0B"/>
    <w:rsid w:val="00117C54"/>
    <w:rsid w:val="00120929"/>
    <w:rsid w:val="00120AA9"/>
    <w:rsid w:val="00120EEB"/>
    <w:rsid w:val="0012118F"/>
    <w:rsid w:val="001211EB"/>
    <w:rsid w:val="00121286"/>
    <w:rsid w:val="00121C1C"/>
    <w:rsid w:val="00121C83"/>
    <w:rsid w:val="00122499"/>
    <w:rsid w:val="00122D05"/>
    <w:rsid w:val="00123D44"/>
    <w:rsid w:val="001245B0"/>
    <w:rsid w:val="00124A59"/>
    <w:rsid w:val="001253AA"/>
    <w:rsid w:val="001259CA"/>
    <w:rsid w:val="001259F5"/>
    <w:rsid w:val="00126220"/>
    <w:rsid w:val="00126777"/>
    <w:rsid w:val="00127149"/>
    <w:rsid w:val="00127F64"/>
    <w:rsid w:val="0013012D"/>
    <w:rsid w:val="0013042D"/>
    <w:rsid w:val="00130FC1"/>
    <w:rsid w:val="001315A1"/>
    <w:rsid w:val="00131938"/>
    <w:rsid w:val="00131F95"/>
    <w:rsid w:val="00132613"/>
    <w:rsid w:val="00132807"/>
    <w:rsid w:val="00132A96"/>
    <w:rsid w:val="001346A5"/>
    <w:rsid w:val="00134E42"/>
    <w:rsid w:val="001357D8"/>
    <w:rsid w:val="001358C2"/>
    <w:rsid w:val="00135D6F"/>
    <w:rsid w:val="0013685E"/>
    <w:rsid w:val="0013703A"/>
    <w:rsid w:val="0013712D"/>
    <w:rsid w:val="00137519"/>
    <w:rsid w:val="00140C25"/>
    <w:rsid w:val="00140C9E"/>
    <w:rsid w:val="00141658"/>
    <w:rsid w:val="00141822"/>
    <w:rsid w:val="001422B7"/>
    <w:rsid w:val="0014240A"/>
    <w:rsid w:val="00142819"/>
    <w:rsid w:val="00142D76"/>
    <w:rsid w:val="00142DE8"/>
    <w:rsid w:val="00142E25"/>
    <w:rsid w:val="00144731"/>
    <w:rsid w:val="00144CE4"/>
    <w:rsid w:val="0014531D"/>
    <w:rsid w:val="00145609"/>
    <w:rsid w:val="001456F3"/>
    <w:rsid w:val="00145E38"/>
    <w:rsid w:val="001465C9"/>
    <w:rsid w:val="001465E7"/>
    <w:rsid w:val="00146712"/>
    <w:rsid w:val="00146B1C"/>
    <w:rsid w:val="00146CD6"/>
    <w:rsid w:val="00147145"/>
    <w:rsid w:val="00147154"/>
    <w:rsid w:val="0014724A"/>
    <w:rsid w:val="001505AA"/>
    <w:rsid w:val="00150605"/>
    <w:rsid w:val="0015094C"/>
    <w:rsid w:val="00151B12"/>
    <w:rsid w:val="00152165"/>
    <w:rsid w:val="0015242C"/>
    <w:rsid w:val="00152A4A"/>
    <w:rsid w:val="00152B9E"/>
    <w:rsid w:val="00152E21"/>
    <w:rsid w:val="00153DE3"/>
    <w:rsid w:val="001541D5"/>
    <w:rsid w:val="00154920"/>
    <w:rsid w:val="00154A89"/>
    <w:rsid w:val="001555C7"/>
    <w:rsid w:val="001557B8"/>
    <w:rsid w:val="0015580C"/>
    <w:rsid w:val="00155978"/>
    <w:rsid w:val="00156607"/>
    <w:rsid w:val="00156E90"/>
    <w:rsid w:val="0015760F"/>
    <w:rsid w:val="00157668"/>
    <w:rsid w:val="00157670"/>
    <w:rsid w:val="001576F0"/>
    <w:rsid w:val="001577AA"/>
    <w:rsid w:val="001579FC"/>
    <w:rsid w:val="00157A3A"/>
    <w:rsid w:val="00157E87"/>
    <w:rsid w:val="00157EE3"/>
    <w:rsid w:val="001604DC"/>
    <w:rsid w:val="0016051F"/>
    <w:rsid w:val="00160C5F"/>
    <w:rsid w:val="00161560"/>
    <w:rsid w:val="00161BB2"/>
    <w:rsid w:val="0016210D"/>
    <w:rsid w:val="00162489"/>
    <w:rsid w:val="0016270D"/>
    <w:rsid w:val="00162BA5"/>
    <w:rsid w:val="00162D39"/>
    <w:rsid w:val="001638A4"/>
    <w:rsid w:val="00163C8A"/>
    <w:rsid w:val="0016424E"/>
    <w:rsid w:val="001642D4"/>
    <w:rsid w:val="00164705"/>
    <w:rsid w:val="00164DC3"/>
    <w:rsid w:val="00165057"/>
    <w:rsid w:val="001650BF"/>
    <w:rsid w:val="00165885"/>
    <w:rsid w:val="00166E41"/>
    <w:rsid w:val="00167C7E"/>
    <w:rsid w:val="00167DB1"/>
    <w:rsid w:val="00170022"/>
    <w:rsid w:val="0017014A"/>
    <w:rsid w:val="0017043A"/>
    <w:rsid w:val="0017062F"/>
    <w:rsid w:val="0017096B"/>
    <w:rsid w:val="00170DAA"/>
    <w:rsid w:val="001716ED"/>
    <w:rsid w:val="001721B8"/>
    <w:rsid w:val="00172689"/>
    <w:rsid w:val="001726B0"/>
    <w:rsid w:val="0017344D"/>
    <w:rsid w:val="001736E9"/>
    <w:rsid w:val="00173BFF"/>
    <w:rsid w:val="0017458B"/>
    <w:rsid w:val="00174AFE"/>
    <w:rsid w:val="0017528B"/>
    <w:rsid w:val="00175626"/>
    <w:rsid w:val="0017599E"/>
    <w:rsid w:val="00175B63"/>
    <w:rsid w:val="00175FA3"/>
    <w:rsid w:val="00176012"/>
    <w:rsid w:val="001767CF"/>
    <w:rsid w:val="00176838"/>
    <w:rsid w:val="00176EC3"/>
    <w:rsid w:val="001772AD"/>
    <w:rsid w:val="0017738E"/>
    <w:rsid w:val="0017766A"/>
    <w:rsid w:val="001806BF"/>
    <w:rsid w:val="00180852"/>
    <w:rsid w:val="00180A2A"/>
    <w:rsid w:val="00181631"/>
    <w:rsid w:val="001817CD"/>
    <w:rsid w:val="001817CF"/>
    <w:rsid w:val="00181CA3"/>
    <w:rsid w:val="00182206"/>
    <w:rsid w:val="001825CB"/>
    <w:rsid w:val="00182B96"/>
    <w:rsid w:val="00182DA3"/>
    <w:rsid w:val="00184DB1"/>
    <w:rsid w:val="001857EB"/>
    <w:rsid w:val="00186285"/>
    <w:rsid w:val="001863CC"/>
    <w:rsid w:val="00186503"/>
    <w:rsid w:val="0018654A"/>
    <w:rsid w:val="0018708C"/>
    <w:rsid w:val="001877FB"/>
    <w:rsid w:val="00187825"/>
    <w:rsid w:val="00187B18"/>
    <w:rsid w:val="0019063C"/>
    <w:rsid w:val="0019070B"/>
    <w:rsid w:val="0019095D"/>
    <w:rsid w:val="00190A74"/>
    <w:rsid w:val="00190CAD"/>
    <w:rsid w:val="00190FF9"/>
    <w:rsid w:val="001910F5"/>
    <w:rsid w:val="00191EC5"/>
    <w:rsid w:val="00192006"/>
    <w:rsid w:val="00192018"/>
    <w:rsid w:val="0019228C"/>
    <w:rsid w:val="00192760"/>
    <w:rsid w:val="00192BE1"/>
    <w:rsid w:val="00193197"/>
    <w:rsid w:val="00193209"/>
    <w:rsid w:val="00193A9B"/>
    <w:rsid w:val="00193BF5"/>
    <w:rsid w:val="00193FDA"/>
    <w:rsid w:val="0019599A"/>
    <w:rsid w:val="00196023"/>
    <w:rsid w:val="00196069"/>
    <w:rsid w:val="001968B3"/>
    <w:rsid w:val="00196D2B"/>
    <w:rsid w:val="00196FA0"/>
    <w:rsid w:val="00197A04"/>
    <w:rsid w:val="00197F33"/>
    <w:rsid w:val="00197FD3"/>
    <w:rsid w:val="001A05FB"/>
    <w:rsid w:val="001A0719"/>
    <w:rsid w:val="001A0823"/>
    <w:rsid w:val="001A0A87"/>
    <w:rsid w:val="001A1938"/>
    <w:rsid w:val="001A19C3"/>
    <w:rsid w:val="001A1BE5"/>
    <w:rsid w:val="001A1D78"/>
    <w:rsid w:val="001A1F97"/>
    <w:rsid w:val="001A2911"/>
    <w:rsid w:val="001A292E"/>
    <w:rsid w:val="001A296C"/>
    <w:rsid w:val="001A2995"/>
    <w:rsid w:val="001A29A3"/>
    <w:rsid w:val="001A30B8"/>
    <w:rsid w:val="001A39DD"/>
    <w:rsid w:val="001A3A22"/>
    <w:rsid w:val="001A3A45"/>
    <w:rsid w:val="001A3CC5"/>
    <w:rsid w:val="001A410B"/>
    <w:rsid w:val="001A46C4"/>
    <w:rsid w:val="001A53B4"/>
    <w:rsid w:val="001A5B68"/>
    <w:rsid w:val="001A69D9"/>
    <w:rsid w:val="001A75A7"/>
    <w:rsid w:val="001A768A"/>
    <w:rsid w:val="001A7C31"/>
    <w:rsid w:val="001B11B4"/>
    <w:rsid w:val="001B11E1"/>
    <w:rsid w:val="001B16D4"/>
    <w:rsid w:val="001B1CF7"/>
    <w:rsid w:val="001B1DAB"/>
    <w:rsid w:val="001B21C0"/>
    <w:rsid w:val="001B2737"/>
    <w:rsid w:val="001B2FD1"/>
    <w:rsid w:val="001B3921"/>
    <w:rsid w:val="001B42AA"/>
    <w:rsid w:val="001B42CD"/>
    <w:rsid w:val="001B493E"/>
    <w:rsid w:val="001B4A55"/>
    <w:rsid w:val="001B4DC6"/>
    <w:rsid w:val="001B66D9"/>
    <w:rsid w:val="001B6808"/>
    <w:rsid w:val="001C011F"/>
    <w:rsid w:val="001C046C"/>
    <w:rsid w:val="001C0B4A"/>
    <w:rsid w:val="001C1082"/>
    <w:rsid w:val="001C1821"/>
    <w:rsid w:val="001C1C2C"/>
    <w:rsid w:val="001C23FD"/>
    <w:rsid w:val="001C2625"/>
    <w:rsid w:val="001C34A4"/>
    <w:rsid w:val="001C3632"/>
    <w:rsid w:val="001C3EF4"/>
    <w:rsid w:val="001C408D"/>
    <w:rsid w:val="001C438E"/>
    <w:rsid w:val="001C4972"/>
    <w:rsid w:val="001C5219"/>
    <w:rsid w:val="001C550A"/>
    <w:rsid w:val="001C5753"/>
    <w:rsid w:val="001C5EDB"/>
    <w:rsid w:val="001C5F8E"/>
    <w:rsid w:val="001C64CD"/>
    <w:rsid w:val="001C6C20"/>
    <w:rsid w:val="001C6C2A"/>
    <w:rsid w:val="001C76EF"/>
    <w:rsid w:val="001C7710"/>
    <w:rsid w:val="001C7BC7"/>
    <w:rsid w:val="001C7E48"/>
    <w:rsid w:val="001D043D"/>
    <w:rsid w:val="001D0DD6"/>
    <w:rsid w:val="001D0F3D"/>
    <w:rsid w:val="001D110E"/>
    <w:rsid w:val="001D11B6"/>
    <w:rsid w:val="001D1255"/>
    <w:rsid w:val="001D1A23"/>
    <w:rsid w:val="001D1CF4"/>
    <w:rsid w:val="001D1F13"/>
    <w:rsid w:val="001D200F"/>
    <w:rsid w:val="001D2CC7"/>
    <w:rsid w:val="001D2FE8"/>
    <w:rsid w:val="001D3C92"/>
    <w:rsid w:val="001D3E73"/>
    <w:rsid w:val="001D3EFE"/>
    <w:rsid w:val="001D4709"/>
    <w:rsid w:val="001D4799"/>
    <w:rsid w:val="001D499F"/>
    <w:rsid w:val="001D4F69"/>
    <w:rsid w:val="001D5573"/>
    <w:rsid w:val="001D569F"/>
    <w:rsid w:val="001D69D3"/>
    <w:rsid w:val="001D6BCF"/>
    <w:rsid w:val="001D7171"/>
    <w:rsid w:val="001D7584"/>
    <w:rsid w:val="001D7696"/>
    <w:rsid w:val="001D7A7A"/>
    <w:rsid w:val="001D7B16"/>
    <w:rsid w:val="001E0035"/>
    <w:rsid w:val="001E10A4"/>
    <w:rsid w:val="001E1B99"/>
    <w:rsid w:val="001E1C95"/>
    <w:rsid w:val="001E31A9"/>
    <w:rsid w:val="001E3667"/>
    <w:rsid w:val="001E38D8"/>
    <w:rsid w:val="001E3B46"/>
    <w:rsid w:val="001E44FF"/>
    <w:rsid w:val="001E4756"/>
    <w:rsid w:val="001E4A69"/>
    <w:rsid w:val="001E51EE"/>
    <w:rsid w:val="001E57A1"/>
    <w:rsid w:val="001E5A1C"/>
    <w:rsid w:val="001E5ABB"/>
    <w:rsid w:val="001E5B47"/>
    <w:rsid w:val="001E5F20"/>
    <w:rsid w:val="001E6323"/>
    <w:rsid w:val="001E6C21"/>
    <w:rsid w:val="001E789B"/>
    <w:rsid w:val="001E7B1E"/>
    <w:rsid w:val="001F0244"/>
    <w:rsid w:val="001F08B0"/>
    <w:rsid w:val="001F15E8"/>
    <w:rsid w:val="001F1A55"/>
    <w:rsid w:val="001F2698"/>
    <w:rsid w:val="001F26A9"/>
    <w:rsid w:val="001F291D"/>
    <w:rsid w:val="001F3398"/>
    <w:rsid w:val="001F4E3D"/>
    <w:rsid w:val="001F4EB6"/>
    <w:rsid w:val="001F50C2"/>
    <w:rsid w:val="001F522C"/>
    <w:rsid w:val="001F534E"/>
    <w:rsid w:val="001F5AA7"/>
    <w:rsid w:val="001F6296"/>
    <w:rsid w:val="001F6412"/>
    <w:rsid w:val="001F6700"/>
    <w:rsid w:val="001F7052"/>
    <w:rsid w:val="001F715E"/>
    <w:rsid w:val="001F72EF"/>
    <w:rsid w:val="002010B3"/>
    <w:rsid w:val="0020112F"/>
    <w:rsid w:val="002023C2"/>
    <w:rsid w:val="002025DF"/>
    <w:rsid w:val="00202AC1"/>
    <w:rsid w:val="002035FB"/>
    <w:rsid w:val="0020377C"/>
    <w:rsid w:val="002037FD"/>
    <w:rsid w:val="0020467D"/>
    <w:rsid w:val="00204D13"/>
    <w:rsid w:val="00205B7C"/>
    <w:rsid w:val="00205F0C"/>
    <w:rsid w:val="00207044"/>
    <w:rsid w:val="002071C4"/>
    <w:rsid w:val="002076F2"/>
    <w:rsid w:val="002078CF"/>
    <w:rsid w:val="00207C21"/>
    <w:rsid w:val="002100C0"/>
    <w:rsid w:val="0021014F"/>
    <w:rsid w:val="002107F3"/>
    <w:rsid w:val="00210BB4"/>
    <w:rsid w:val="00210C2A"/>
    <w:rsid w:val="00210DBA"/>
    <w:rsid w:val="00210EAC"/>
    <w:rsid w:val="0021132C"/>
    <w:rsid w:val="002115DA"/>
    <w:rsid w:val="002117A8"/>
    <w:rsid w:val="00211807"/>
    <w:rsid w:val="00211933"/>
    <w:rsid w:val="00211E51"/>
    <w:rsid w:val="002123FC"/>
    <w:rsid w:val="00212C92"/>
    <w:rsid w:val="00212FD5"/>
    <w:rsid w:val="00213256"/>
    <w:rsid w:val="00213CEA"/>
    <w:rsid w:val="00213D59"/>
    <w:rsid w:val="00214828"/>
    <w:rsid w:val="00214C81"/>
    <w:rsid w:val="002150BE"/>
    <w:rsid w:val="0021593E"/>
    <w:rsid w:val="00215DE2"/>
    <w:rsid w:val="00215E05"/>
    <w:rsid w:val="00216305"/>
    <w:rsid w:val="0021630A"/>
    <w:rsid w:val="0021721B"/>
    <w:rsid w:val="0021764A"/>
    <w:rsid w:val="002177A3"/>
    <w:rsid w:val="0021781B"/>
    <w:rsid w:val="002178D4"/>
    <w:rsid w:val="002201E2"/>
    <w:rsid w:val="00220654"/>
    <w:rsid w:val="00221310"/>
    <w:rsid w:val="00221E9B"/>
    <w:rsid w:val="0022213D"/>
    <w:rsid w:val="002224CA"/>
    <w:rsid w:val="00222B61"/>
    <w:rsid w:val="00223007"/>
    <w:rsid w:val="00223119"/>
    <w:rsid w:val="002232D7"/>
    <w:rsid w:val="002237AF"/>
    <w:rsid w:val="00224198"/>
    <w:rsid w:val="002243E4"/>
    <w:rsid w:val="002246A5"/>
    <w:rsid w:val="00224F1D"/>
    <w:rsid w:val="0022516B"/>
    <w:rsid w:val="00225600"/>
    <w:rsid w:val="00226288"/>
    <w:rsid w:val="002262E0"/>
    <w:rsid w:val="00230557"/>
    <w:rsid w:val="00230CF6"/>
    <w:rsid w:val="00230DBC"/>
    <w:rsid w:val="00230F95"/>
    <w:rsid w:val="00232257"/>
    <w:rsid w:val="00233047"/>
    <w:rsid w:val="00233215"/>
    <w:rsid w:val="002333FA"/>
    <w:rsid w:val="00233547"/>
    <w:rsid w:val="0023384D"/>
    <w:rsid w:val="00233DF2"/>
    <w:rsid w:val="002341C0"/>
    <w:rsid w:val="002342EE"/>
    <w:rsid w:val="00235318"/>
    <w:rsid w:val="00235613"/>
    <w:rsid w:val="002356CF"/>
    <w:rsid w:val="00235C84"/>
    <w:rsid w:val="00235D9B"/>
    <w:rsid w:val="00235FA6"/>
    <w:rsid w:val="00236E7A"/>
    <w:rsid w:val="0023713E"/>
    <w:rsid w:val="002371C1"/>
    <w:rsid w:val="00237E94"/>
    <w:rsid w:val="00237EC6"/>
    <w:rsid w:val="0024020E"/>
    <w:rsid w:val="002402BE"/>
    <w:rsid w:val="00240794"/>
    <w:rsid w:val="00240B1C"/>
    <w:rsid w:val="00240CBA"/>
    <w:rsid w:val="00240DFA"/>
    <w:rsid w:val="002413D2"/>
    <w:rsid w:val="00241451"/>
    <w:rsid w:val="00241DF9"/>
    <w:rsid w:val="00241EE9"/>
    <w:rsid w:val="00242147"/>
    <w:rsid w:val="002421E4"/>
    <w:rsid w:val="002423A8"/>
    <w:rsid w:val="00242461"/>
    <w:rsid w:val="002424CF"/>
    <w:rsid w:val="00242642"/>
    <w:rsid w:val="0024349D"/>
    <w:rsid w:val="0024357D"/>
    <w:rsid w:val="00243A6C"/>
    <w:rsid w:val="0024452C"/>
    <w:rsid w:val="002449F8"/>
    <w:rsid w:val="00244CDD"/>
    <w:rsid w:val="0024504D"/>
    <w:rsid w:val="002450F7"/>
    <w:rsid w:val="00245196"/>
    <w:rsid w:val="002451CF"/>
    <w:rsid w:val="002452D4"/>
    <w:rsid w:val="002457B3"/>
    <w:rsid w:val="00246FF5"/>
    <w:rsid w:val="00247341"/>
    <w:rsid w:val="002475C3"/>
    <w:rsid w:val="00247FAF"/>
    <w:rsid w:val="00250062"/>
    <w:rsid w:val="00250BDE"/>
    <w:rsid w:val="0025284E"/>
    <w:rsid w:val="00253356"/>
    <w:rsid w:val="002536DB"/>
    <w:rsid w:val="00253745"/>
    <w:rsid w:val="00253AE2"/>
    <w:rsid w:val="002541D2"/>
    <w:rsid w:val="002549AD"/>
    <w:rsid w:val="00254FFE"/>
    <w:rsid w:val="002554B6"/>
    <w:rsid w:val="00255E65"/>
    <w:rsid w:val="00255FE4"/>
    <w:rsid w:val="00256579"/>
    <w:rsid w:val="002566EA"/>
    <w:rsid w:val="0025675E"/>
    <w:rsid w:val="00256C39"/>
    <w:rsid w:val="00256CDA"/>
    <w:rsid w:val="0025716A"/>
    <w:rsid w:val="002572B6"/>
    <w:rsid w:val="002576C6"/>
    <w:rsid w:val="00257BFB"/>
    <w:rsid w:val="002608A1"/>
    <w:rsid w:val="00260A13"/>
    <w:rsid w:val="00260B71"/>
    <w:rsid w:val="00260CDD"/>
    <w:rsid w:val="00260D36"/>
    <w:rsid w:val="0026113F"/>
    <w:rsid w:val="002614FB"/>
    <w:rsid w:val="002615DA"/>
    <w:rsid w:val="0026213A"/>
    <w:rsid w:val="00262233"/>
    <w:rsid w:val="00262399"/>
    <w:rsid w:val="002626F4"/>
    <w:rsid w:val="00262A22"/>
    <w:rsid w:val="00262D33"/>
    <w:rsid w:val="002635BF"/>
    <w:rsid w:val="002635EA"/>
    <w:rsid w:val="00263DCB"/>
    <w:rsid w:val="00264745"/>
    <w:rsid w:val="002647BA"/>
    <w:rsid w:val="00264E42"/>
    <w:rsid w:val="00265206"/>
    <w:rsid w:val="002652A1"/>
    <w:rsid w:val="0026558B"/>
    <w:rsid w:val="002655FF"/>
    <w:rsid w:val="00266388"/>
    <w:rsid w:val="002665DC"/>
    <w:rsid w:val="00266A64"/>
    <w:rsid w:val="00266B1D"/>
    <w:rsid w:val="00267205"/>
    <w:rsid w:val="002677EC"/>
    <w:rsid w:val="002679DF"/>
    <w:rsid w:val="002709DB"/>
    <w:rsid w:val="00270BA1"/>
    <w:rsid w:val="00270D48"/>
    <w:rsid w:val="00271AAA"/>
    <w:rsid w:val="00271C89"/>
    <w:rsid w:val="00272309"/>
    <w:rsid w:val="002725D3"/>
    <w:rsid w:val="0027371D"/>
    <w:rsid w:val="002743AA"/>
    <w:rsid w:val="00274AF4"/>
    <w:rsid w:val="00274F12"/>
    <w:rsid w:val="0027515B"/>
    <w:rsid w:val="00275BDA"/>
    <w:rsid w:val="002764D4"/>
    <w:rsid w:val="0027693E"/>
    <w:rsid w:val="00276B2B"/>
    <w:rsid w:val="00276B7C"/>
    <w:rsid w:val="00276E3B"/>
    <w:rsid w:val="002776EE"/>
    <w:rsid w:val="00277855"/>
    <w:rsid w:val="00277890"/>
    <w:rsid w:val="00277D63"/>
    <w:rsid w:val="00280270"/>
    <w:rsid w:val="00280826"/>
    <w:rsid w:val="00280A74"/>
    <w:rsid w:val="002810C2"/>
    <w:rsid w:val="00281835"/>
    <w:rsid w:val="00281AAE"/>
    <w:rsid w:val="00281AD5"/>
    <w:rsid w:val="0028225A"/>
    <w:rsid w:val="002827D3"/>
    <w:rsid w:val="00282A9C"/>
    <w:rsid w:val="00283CBD"/>
    <w:rsid w:val="00283E45"/>
    <w:rsid w:val="00283EB3"/>
    <w:rsid w:val="00284DC2"/>
    <w:rsid w:val="00284F0E"/>
    <w:rsid w:val="00284FBB"/>
    <w:rsid w:val="00284FCC"/>
    <w:rsid w:val="0028533B"/>
    <w:rsid w:val="00285B41"/>
    <w:rsid w:val="00285F1D"/>
    <w:rsid w:val="00285F4A"/>
    <w:rsid w:val="0028606C"/>
    <w:rsid w:val="002869F6"/>
    <w:rsid w:val="00286A34"/>
    <w:rsid w:val="00286DF8"/>
    <w:rsid w:val="00287221"/>
    <w:rsid w:val="002874F3"/>
    <w:rsid w:val="002876AE"/>
    <w:rsid w:val="00287A04"/>
    <w:rsid w:val="0029003C"/>
    <w:rsid w:val="00290C5C"/>
    <w:rsid w:val="00291736"/>
    <w:rsid w:val="00291AB1"/>
    <w:rsid w:val="00292C9F"/>
    <w:rsid w:val="00293165"/>
    <w:rsid w:val="002939BF"/>
    <w:rsid w:val="00293FD6"/>
    <w:rsid w:val="0029420C"/>
    <w:rsid w:val="0029435E"/>
    <w:rsid w:val="00294483"/>
    <w:rsid w:val="00294594"/>
    <w:rsid w:val="00294D58"/>
    <w:rsid w:val="00294F47"/>
    <w:rsid w:val="00294FDE"/>
    <w:rsid w:val="002955E5"/>
    <w:rsid w:val="00295791"/>
    <w:rsid w:val="00295B1D"/>
    <w:rsid w:val="00295D1C"/>
    <w:rsid w:val="002962F0"/>
    <w:rsid w:val="00296E60"/>
    <w:rsid w:val="002973A1"/>
    <w:rsid w:val="002973BB"/>
    <w:rsid w:val="0029748C"/>
    <w:rsid w:val="00297522"/>
    <w:rsid w:val="00297CE7"/>
    <w:rsid w:val="00297E81"/>
    <w:rsid w:val="002A04F9"/>
    <w:rsid w:val="002A054C"/>
    <w:rsid w:val="002A0554"/>
    <w:rsid w:val="002A0647"/>
    <w:rsid w:val="002A0AD5"/>
    <w:rsid w:val="002A0D6C"/>
    <w:rsid w:val="002A13A1"/>
    <w:rsid w:val="002A194D"/>
    <w:rsid w:val="002A19FC"/>
    <w:rsid w:val="002A1C58"/>
    <w:rsid w:val="002A1EED"/>
    <w:rsid w:val="002A1FA0"/>
    <w:rsid w:val="002A23FB"/>
    <w:rsid w:val="002A27E6"/>
    <w:rsid w:val="002A2CD7"/>
    <w:rsid w:val="002A3145"/>
    <w:rsid w:val="002A375E"/>
    <w:rsid w:val="002A3991"/>
    <w:rsid w:val="002A3A94"/>
    <w:rsid w:val="002A40B7"/>
    <w:rsid w:val="002A465C"/>
    <w:rsid w:val="002A58F4"/>
    <w:rsid w:val="002A5A04"/>
    <w:rsid w:val="002A5D27"/>
    <w:rsid w:val="002A63A1"/>
    <w:rsid w:val="002A7661"/>
    <w:rsid w:val="002A7E33"/>
    <w:rsid w:val="002B0132"/>
    <w:rsid w:val="002B021F"/>
    <w:rsid w:val="002B0B2F"/>
    <w:rsid w:val="002B0D1C"/>
    <w:rsid w:val="002B0F0D"/>
    <w:rsid w:val="002B16EE"/>
    <w:rsid w:val="002B1834"/>
    <w:rsid w:val="002B18FB"/>
    <w:rsid w:val="002B1D0B"/>
    <w:rsid w:val="002B2513"/>
    <w:rsid w:val="002B27D9"/>
    <w:rsid w:val="002B2AD4"/>
    <w:rsid w:val="002B2E68"/>
    <w:rsid w:val="002B2FB8"/>
    <w:rsid w:val="002B31CE"/>
    <w:rsid w:val="002B337E"/>
    <w:rsid w:val="002B373C"/>
    <w:rsid w:val="002B3BE1"/>
    <w:rsid w:val="002B4154"/>
    <w:rsid w:val="002B4267"/>
    <w:rsid w:val="002B4587"/>
    <w:rsid w:val="002B4B79"/>
    <w:rsid w:val="002B4D54"/>
    <w:rsid w:val="002B5115"/>
    <w:rsid w:val="002B5F72"/>
    <w:rsid w:val="002B651E"/>
    <w:rsid w:val="002B67A7"/>
    <w:rsid w:val="002B699D"/>
    <w:rsid w:val="002B6D73"/>
    <w:rsid w:val="002B6F67"/>
    <w:rsid w:val="002B7146"/>
    <w:rsid w:val="002C0811"/>
    <w:rsid w:val="002C0A52"/>
    <w:rsid w:val="002C0F39"/>
    <w:rsid w:val="002C16BB"/>
    <w:rsid w:val="002C1AF0"/>
    <w:rsid w:val="002C1EB2"/>
    <w:rsid w:val="002C20EC"/>
    <w:rsid w:val="002C4110"/>
    <w:rsid w:val="002C5002"/>
    <w:rsid w:val="002C501B"/>
    <w:rsid w:val="002C5073"/>
    <w:rsid w:val="002C5785"/>
    <w:rsid w:val="002C578F"/>
    <w:rsid w:val="002C5D23"/>
    <w:rsid w:val="002C5E3A"/>
    <w:rsid w:val="002C6107"/>
    <w:rsid w:val="002C61A4"/>
    <w:rsid w:val="002C636C"/>
    <w:rsid w:val="002C64E7"/>
    <w:rsid w:val="002C683A"/>
    <w:rsid w:val="002C754A"/>
    <w:rsid w:val="002C7644"/>
    <w:rsid w:val="002D01BA"/>
    <w:rsid w:val="002D0360"/>
    <w:rsid w:val="002D04BA"/>
    <w:rsid w:val="002D078B"/>
    <w:rsid w:val="002D0E17"/>
    <w:rsid w:val="002D0E73"/>
    <w:rsid w:val="002D11A1"/>
    <w:rsid w:val="002D1335"/>
    <w:rsid w:val="002D1514"/>
    <w:rsid w:val="002D222B"/>
    <w:rsid w:val="002D2242"/>
    <w:rsid w:val="002D2BBE"/>
    <w:rsid w:val="002D3595"/>
    <w:rsid w:val="002D3846"/>
    <w:rsid w:val="002D4462"/>
    <w:rsid w:val="002D47CA"/>
    <w:rsid w:val="002D49F1"/>
    <w:rsid w:val="002D5548"/>
    <w:rsid w:val="002D5552"/>
    <w:rsid w:val="002D576E"/>
    <w:rsid w:val="002D596D"/>
    <w:rsid w:val="002D6177"/>
    <w:rsid w:val="002D63A5"/>
    <w:rsid w:val="002D6666"/>
    <w:rsid w:val="002D6691"/>
    <w:rsid w:val="002D6C35"/>
    <w:rsid w:val="002D71D8"/>
    <w:rsid w:val="002D7911"/>
    <w:rsid w:val="002E0016"/>
    <w:rsid w:val="002E00DE"/>
    <w:rsid w:val="002E05DF"/>
    <w:rsid w:val="002E0897"/>
    <w:rsid w:val="002E1CCE"/>
    <w:rsid w:val="002E22C0"/>
    <w:rsid w:val="002E2AC6"/>
    <w:rsid w:val="002E3DC0"/>
    <w:rsid w:val="002E467E"/>
    <w:rsid w:val="002E481D"/>
    <w:rsid w:val="002E4D0B"/>
    <w:rsid w:val="002E57F7"/>
    <w:rsid w:val="002E5BFC"/>
    <w:rsid w:val="002E5D57"/>
    <w:rsid w:val="002E6009"/>
    <w:rsid w:val="002E6376"/>
    <w:rsid w:val="002E66FA"/>
    <w:rsid w:val="002E6772"/>
    <w:rsid w:val="002E689D"/>
    <w:rsid w:val="002E721D"/>
    <w:rsid w:val="002E736B"/>
    <w:rsid w:val="002F011D"/>
    <w:rsid w:val="002F0396"/>
    <w:rsid w:val="002F059C"/>
    <w:rsid w:val="002F0708"/>
    <w:rsid w:val="002F08EF"/>
    <w:rsid w:val="002F0D03"/>
    <w:rsid w:val="002F0D28"/>
    <w:rsid w:val="002F0F2B"/>
    <w:rsid w:val="002F244B"/>
    <w:rsid w:val="002F293B"/>
    <w:rsid w:val="002F333E"/>
    <w:rsid w:val="002F4431"/>
    <w:rsid w:val="002F4549"/>
    <w:rsid w:val="002F46A5"/>
    <w:rsid w:val="002F4B85"/>
    <w:rsid w:val="002F54C2"/>
    <w:rsid w:val="002F5806"/>
    <w:rsid w:val="002F6266"/>
    <w:rsid w:val="002F67B5"/>
    <w:rsid w:val="002F7554"/>
    <w:rsid w:val="002F76C5"/>
    <w:rsid w:val="002F7909"/>
    <w:rsid w:val="002F7A0F"/>
    <w:rsid w:val="002F7AC3"/>
    <w:rsid w:val="002F7CDD"/>
    <w:rsid w:val="003004C8"/>
    <w:rsid w:val="00301FBE"/>
    <w:rsid w:val="00302176"/>
    <w:rsid w:val="003023E9"/>
    <w:rsid w:val="00302C70"/>
    <w:rsid w:val="003037EC"/>
    <w:rsid w:val="0030414C"/>
    <w:rsid w:val="003042DA"/>
    <w:rsid w:val="00304889"/>
    <w:rsid w:val="00304EF9"/>
    <w:rsid w:val="00305699"/>
    <w:rsid w:val="00305E9A"/>
    <w:rsid w:val="00306167"/>
    <w:rsid w:val="00306438"/>
    <w:rsid w:val="003067AD"/>
    <w:rsid w:val="0030702F"/>
    <w:rsid w:val="00307507"/>
    <w:rsid w:val="00307541"/>
    <w:rsid w:val="003101D9"/>
    <w:rsid w:val="00310AF0"/>
    <w:rsid w:val="00310B3D"/>
    <w:rsid w:val="0031109D"/>
    <w:rsid w:val="003112D7"/>
    <w:rsid w:val="00311591"/>
    <w:rsid w:val="0031220F"/>
    <w:rsid w:val="0031283B"/>
    <w:rsid w:val="0031286C"/>
    <w:rsid w:val="0031288C"/>
    <w:rsid w:val="00312BEE"/>
    <w:rsid w:val="00313072"/>
    <w:rsid w:val="00313140"/>
    <w:rsid w:val="003134B3"/>
    <w:rsid w:val="00313604"/>
    <w:rsid w:val="00313E05"/>
    <w:rsid w:val="003144ED"/>
    <w:rsid w:val="00314BDD"/>
    <w:rsid w:val="003150F9"/>
    <w:rsid w:val="0031556F"/>
    <w:rsid w:val="00315B43"/>
    <w:rsid w:val="00315F22"/>
    <w:rsid w:val="00316795"/>
    <w:rsid w:val="003167D3"/>
    <w:rsid w:val="003176E1"/>
    <w:rsid w:val="00317800"/>
    <w:rsid w:val="003179CD"/>
    <w:rsid w:val="00317CCC"/>
    <w:rsid w:val="00317FC4"/>
    <w:rsid w:val="0032026E"/>
    <w:rsid w:val="003209CE"/>
    <w:rsid w:val="003211A9"/>
    <w:rsid w:val="003214AD"/>
    <w:rsid w:val="00321890"/>
    <w:rsid w:val="003218BD"/>
    <w:rsid w:val="00321987"/>
    <w:rsid w:val="00321FDF"/>
    <w:rsid w:val="003222E7"/>
    <w:rsid w:val="003224A6"/>
    <w:rsid w:val="00322A40"/>
    <w:rsid w:val="00322FA4"/>
    <w:rsid w:val="00323066"/>
    <w:rsid w:val="00323323"/>
    <w:rsid w:val="00323466"/>
    <w:rsid w:val="003239B9"/>
    <w:rsid w:val="003239CA"/>
    <w:rsid w:val="00324850"/>
    <w:rsid w:val="00324946"/>
    <w:rsid w:val="00324E3C"/>
    <w:rsid w:val="00324F86"/>
    <w:rsid w:val="00325591"/>
    <w:rsid w:val="003259F7"/>
    <w:rsid w:val="00325CAF"/>
    <w:rsid w:val="00325FF0"/>
    <w:rsid w:val="00326B00"/>
    <w:rsid w:val="00326FAA"/>
    <w:rsid w:val="00327464"/>
    <w:rsid w:val="00327696"/>
    <w:rsid w:val="003277BF"/>
    <w:rsid w:val="00327A67"/>
    <w:rsid w:val="00327C8B"/>
    <w:rsid w:val="00327D34"/>
    <w:rsid w:val="00327E2C"/>
    <w:rsid w:val="003302E5"/>
    <w:rsid w:val="00330502"/>
    <w:rsid w:val="00330ADC"/>
    <w:rsid w:val="003319C7"/>
    <w:rsid w:val="00331DF8"/>
    <w:rsid w:val="00331E50"/>
    <w:rsid w:val="003324CE"/>
    <w:rsid w:val="00332F19"/>
    <w:rsid w:val="00332FB5"/>
    <w:rsid w:val="00332FFF"/>
    <w:rsid w:val="0033422A"/>
    <w:rsid w:val="003343CD"/>
    <w:rsid w:val="0033460A"/>
    <w:rsid w:val="00334BD9"/>
    <w:rsid w:val="003350EC"/>
    <w:rsid w:val="003359C7"/>
    <w:rsid w:val="00336652"/>
    <w:rsid w:val="003379C5"/>
    <w:rsid w:val="00340115"/>
    <w:rsid w:val="00340337"/>
    <w:rsid w:val="00341069"/>
    <w:rsid w:val="003410AF"/>
    <w:rsid w:val="00341737"/>
    <w:rsid w:val="00341CE5"/>
    <w:rsid w:val="00342426"/>
    <w:rsid w:val="003434D2"/>
    <w:rsid w:val="00343ACE"/>
    <w:rsid w:val="00343CFD"/>
    <w:rsid w:val="00345508"/>
    <w:rsid w:val="003459F8"/>
    <w:rsid w:val="00345BDB"/>
    <w:rsid w:val="00345EF3"/>
    <w:rsid w:val="00345F37"/>
    <w:rsid w:val="00345FB8"/>
    <w:rsid w:val="0034676A"/>
    <w:rsid w:val="00347819"/>
    <w:rsid w:val="00347C40"/>
    <w:rsid w:val="00347E7D"/>
    <w:rsid w:val="003501CC"/>
    <w:rsid w:val="003501D7"/>
    <w:rsid w:val="00350409"/>
    <w:rsid w:val="00350685"/>
    <w:rsid w:val="0035093A"/>
    <w:rsid w:val="00350D1C"/>
    <w:rsid w:val="00350F57"/>
    <w:rsid w:val="00351417"/>
    <w:rsid w:val="00351BD6"/>
    <w:rsid w:val="00352208"/>
    <w:rsid w:val="00352C9C"/>
    <w:rsid w:val="00353E07"/>
    <w:rsid w:val="0035413B"/>
    <w:rsid w:val="003543F4"/>
    <w:rsid w:val="003544DE"/>
    <w:rsid w:val="00354C46"/>
    <w:rsid w:val="00355285"/>
    <w:rsid w:val="003554DF"/>
    <w:rsid w:val="003558DB"/>
    <w:rsid w:val="00356402"/>
    <w:rsid w:val="0035649B"/>
    <w:rsid w:val="00356B43"/>
    <w:rsid w:val="003575D5"/>
    <w:rsid w:val="00357804"/>
    <w:rsid w:val="00357A60"/>
    <w:rsid w:val="00357CF5"/>
    <w:rsid w:val="00360EAF"/>
    <w:rsid w:val="00360F85"/>
    <w:rsid w:val="00361688"/>
    <w:rsid w:val="00361710"/>
    <w:rsid w:val="00362945"/>
    <w:rsid w:val="0036299A"/>
    <w:rsid w:val="00362F95"/>
    <w:rsid w:val="00363993"/>
    <w:rsid w:val="003639B6"/>
    <w:rsid w:val="003639D2"/>
    <w:rsid w:val="00363EBF"/>
    <w:rsid w:val="003645C9"/>
    <w:rsid w:val="00364627"/>
    <w:rsid w:val="00364E01"/>
    <w:rsid w:val="00365023"/>
    <w:rsid w:val="00365BD8"/>
    <w:rsid w:val="00366342"/>
    <w:rsid w:val="003678F6"/>
    <w:rsid w:val="00371B7D"/>
    <w:rsid w:val="003724B6"/>
    <w:rsid w:val="00372734"/>
    <w:rsid w:val="003729EE"/>
    <w:rsid w:val="00372C61"/>
    <w:rsid w:val="00372CFD"/>
    <w:rsid w:val="0037314F"/>
    <w:rsid w:val="0037368D"/>
    <w:rsid w:val="00373E0C"/>
    <w:rsid w:val="0037435B"/>
    <w:rsid w:val="003746F3"/>
    <w:rsid w:val="00374D3F"/>
    <w:rsid w:val="0037577E"/>
    <w:rsid w:val="00375B29"/>
    <w:rsid w:val="00375C76"/>
    <w:rsid w:val="00375E7F"/>
    <w:rsid w:val="00375EF7"/>
    <w:rsid w:val="00376E02"/>
    <w:rsid w:val="0037795A"/>
    <w:rsid w:val="00377B62"/>
    <w:rsid w:val="00377B67"/>
    <w:rsid w:val="0038036B"/>
    <w:rsid w:val="003805AD"/>
    <w:rsid w:val="00380A13"/>
    <w:rsid w:val="00380D98"/>
    <w:rsid w:val="0038164E"/>
    <w:rsid w:val="00381698"/>
    <w:rsid w:val="0038195A"/>
    <w:rsid w:val="00383575"/>
    <w:rsid w:val="003836E9"/>
    <w:rsid w:val="003846E0"/>
    <w:rsid w:val="0038472F"/>
    <w:rsid w:val="00384EA1"/>
    <w:rsid w:val="0038502E"/>
    <w:rsid w:val="00385163"/>
    <w:rsid w:val="0038591F"/>
    <w:rsid w:val="003859D2"/>
    <w:rsid w:val="00386C74"/>
    <w:rsid w:val="0038728F"/>
    <w:rsid w:val="003872FC"/>
    <w:rsid w:val="00387512"/>
    <w:rsid w:val="00387EA2"/>
    <w:rsid w:val="00390428"/>
    <w:rsid w:val="00390526"/>
    <w:rsid w:val="003905AE"/>
    <w:rsid w:val="0039072F"/>
    <w:rsid w:val="003911CD"/>
    <w:rsid w:val="00391D0A"/>
    <w:rsid w:val="00391FEF"/>
    <w:rsid w:val="003928D4"/>
    <w:rsid w:val="00392A3D"/>
    <w:rsid w:val="003931E7"/>
    <w:rsid w:val="003938FE"/>
    <w:rsid w:val="00393D13"/>
    <w:rsid w:val="00394462"/>
    <w:rsid w:val="0039456F"/>
    <w:rsid w:val="003947C2"/>
    <w:rsid w:val="00394C80"/>
    <w:rsid w:val="00395212"/>
    <w:rsid w:val="00395276"/>
    <w:rsid w:val="0039528B"/>
    <w:rsid w:val="003959D7"/>
    <w:rsid w:val="0039682E"/>
    <w:rsid w:val="00396855"/>
    <w:rsid w:val="00396A32"/>
    <w:rsid w:val="00396B50"/>
    <w:rsid w:val="0039789B"/>
    <w:rsid w:val="00397FC9"/>
    <w:rsid w:val="003A000A"/>
    <w:rsid w:val="003A072A"/>
    <w:rsid w:val="003A0F40"/>
    <w:rsid w:val="003A1261"/>
    <w:rsid w:val="003A172C"/>
    <w:rsid w:val="003A1B49"/>
    <w:rsid w:val="003A2305"/>
    <w:rsid w:val="003A26F2"/>
    <w:rsid w:val="003A2890"/>
    <w:rsid w:val="003A3CD9"/>
    <w:rsid w:val="003A3CF9"/>
    <w:rsid w:val="003A3F3E"/>
    <w:rsid w:val="003A472E"/>
    <w:rsid w:val="003A4770"/>
    <w:rsid w:val="003A492A"/>
    <w:rsid w:val="003A4A9F"/>
    <w:rsid w:val="003A4ABB"/>
    <w:rsid w:val="003A543B"/>
    <w:rsid w:val="003A5489"/>
    <w:rsid w:val="003A5B32"/>
    <w:rsid w:val="003A5D12"/>
    <w:rsid w:val="003A6175"/>
    <w:rsid w:val="003A6CDB"/>
    <w:rsid w:val="003A7039"/>
    <w:rsid w:val="003B0104"/>
    <w:rsid w:val="003B03B3"/>
    <w:rsid w:val="003B05A7"/>
    <w:rsid w:val="003B0677"/>
    <w:rsid w:val="003B0792"/>
    <w:rsid w:val="003B0A1A"/>
    <w:rsid w:val="003B13E9"/>
    <w:rsid w:val="003B3013"/>
    <w:rsid w:val="003B31C3"/>
    <w:rsid w:val="003B335E"/>
    <w:rsid w:val="003B35E0"/>
    <w:rsid w:val="003B3AD2"/>
    <w:rsid w:val="003B3F3B"/>
    <w:rsid w:val="003B447D"/>
    <w:rsid w:val="003B5830"/>
    <w:rsid w:val="003B5DEA"/>
    <w:rsid w:val="003B6AE7"/>
    <w:rsid w:val="003B6AF9"/>
    <w:rsid w:val="003B6F57"/>
    <w:rsid w:val="003B7351"/>
    <w:rsid w:val="003B7DD1"/>
    <w:rsid w:val="003C014D"/>
    <w:rsid w:val="003C02BE"/>
    <w:rsid w:val="003C058F"/>
    <w:rsid w:val="003C092C"/>
    <w:rsid w:val="003C23CD"/>
    <w:rsid w:val="003C274E"/>
    <w:rsid w:val="003C2E57"/>
    <w:rsid w:val="003C2FE1"/>
    <w:rsid w:val="003C418C"/>
    <w:rsid w:val="003C4687"/>
    <w:rsid w:val="003C4D6A"/>
    <w:rsid w:val="003C6328"/>
    <w:rsid w:val="003C6C96"/>
    <w:rsid w:val="003C7703"/>
    <w:rsid w:val="003C77D6"/>
    <w:rsid w:val="003D01EE"/>
    <w:rsid w:val="003D04CD"/>
    <w:rsid w:val="003D30C1"/>
    <w:rsid w:val="003D3512"/>
    <w:rsid w:val="003D365E"/>
    <w:rsid w:val="003D36C1"/>
    <w:rsid w:val="003D3B40"/>
    <w:rsid w:val="003D3C7B"/>
    <w:rsid w:val="003D4099"/>
    <w:rsid w:val="003D496A"/>
    <w:rsid w:val="003D4AD0"/>
    <w:rsid w:val="003D4DDF"/>
    <w:rsid w:val="003D57D3"/>
    <w:rsid w:val="003D5852"/>
    <w:rsid w:val="003D5C9E"/>
    <w:rsid w:val="003D604B"/>
    <w:rsid w:val="003D6AD0"/>
    <w:rsid w:val="003D7328"/>
    <w:rsid w:val="003D753B"/>
    <w:rsid w:val="003E0196"/>
    <w:rsid w:val="003E01A1"/>
    <w:rsid w:val="003E0D18"/>
    <w:rsid w:val="003E1815"/>
    <w:rsid w:val="003E2B0F"/>
    <w:rsid w:val="003E3037"/>
    <w:rsid w:val="003E337F"/>
    <w:rsid w:val="003E4616"/>
    <w:rsid w:val="003E4A7E"/>
    <w:rsid w:val="003E549C"/>
    <w:rsid w:val="003E59F7"/>
    <w:rsid w:val="003E5CF5"/>
    <w:rsid w:val="003E6D23"/>
    <w:rsid w:val="003F08FC"/>
    <w:rsid w:val="003F0DDA"/>
    <w:rsid w:val="003F1377"/>
    <w:rsid w:val="003F227F"/>
    <w:rsid w:val="003F2B81"/>
    <w:rsid w:val="003F3993"/>
    <w:rsid w:val="003F39E9"/>
    <w:rsid w:val="003F3A32"/>
    <w:rsid w:val="003F3D88"/>
    <w:rsid w:val="003F43B8"/>
    <w:rsid w:val="003F43BE"/>
    <w:rsid w:val="003F476F"/>
    <w:rsid w:val="003F4B24"/>
    <w:rsid w:val="003F5A05"/>
    <w:rsid w:val="003F5B60"/>
    <w:rsid w:val="003F5F78"/>
    <w:rsid w:val="003F653F"/>
    <w:rsid w:val="003F6761"/>
    <w:rsid w:val="003F6A44"/>
    <w:rsid w:val="003F6CDB"/>
    <w:rsid w:val="003F75A5"/>
    <w:rsid w:val="003F789C"/>
    <w:rsid w:val="003F7F0F"/>
    <w:rsid w:val="00400E33"/>
    <w:rsid w:val="004011FF"/>
    <w:rsid w:val="00401532"/>
    <w:rsid w:val="00401C16"/>
    <w:rsid w:val="00402D9B"/>
    <w:rsid w:val="00403157"/>
    <w:rsid w:val="0040374F"/>
    <w:rsid w:val="00403D28"/>
    <w:rsid w:val="00403D90"/>
    <w:rsid w:val="00403F04"/>
    <w:rsid w:val="00404015"/>
    <w:rsid w:val="0040432D"/>
    <w:rsid w:val="00404487"/>
    <w:rsid w:val="00405624"/>
    <w:rsid w:val="004065BE"/>
    <w:rsid w:val="004066D6"/>
    <w:rsid w:val="004067CF"/>
    <w:rsid w:val="00406D11"/>
    <w:rsid w:val="00406F84"/>
    <w:rsid w:val="00410314"/>
    <w:rsid w:val="00410936"/>
    <w:rsid w:val="00410C24"/>
    <w:rsid w:val="0041127A"/>
    <w:rsid w:val="004117B3"/>
    <w:rsid w:val="004117BB"/>
    <w:rsid w:val="00411A60"/>
    <w:rsid w:val="00411E9B"/>
    <w:rsid w:val="00413A37"/>
    <w:rsid w:val="00413C7D"/>
    <w:rsid w:val="00415219"/>
    <w:rsid w:val="00415447"/>
    <w:rsid w:val="00415B77"/>
    <w:rsid w:val="00415D3C"/>
    <w:rsid w:val="00416183"/>
    <w:rsid w:val="0041667F"/>
    <w:rsid w:val="00417509"/>
    <w:rsid w:val="00417D62"/>
    <w:rsid w:val="004212D1"/>
    <w:rsid w:val="00421638"/>
    <w:rsid w:val="0042185D"/>
    <w:rsid w:val="004218C2"/>
    <w:rsid w:val="00421B2D"/>
    <w:rsid w:val="00421B3B"/>
    <w:rsid w:val="00421C2F"/>
    <w:rsid w:val="004224FA"/>
    <w:rsid w:val="00422EEA"/>
    <w:rsid w:val="0042306A"/>
    <w:rsid w:val="00423324"/>
    <w:rsid w:val="00423B8A"/>
    <w:rsid w:val="004244C9"/>
    <w:rsid w:val="0042552A"/>
    <w:rsid w:val="00425A26"/>
    <w:rsid w:val="00425B7B"/>
    <w:rsid w:val="00425EEB"/>
    <w:rsid w:val="00426435"/>
    <w:rsid w:val="00426572"/>
    <w:rsid w:val="00427E8A"/>
    <w:rsid w:val="00430157"/>
    <w:rsid w:val="0043040A"/>
    <w:rsid w:val="004306CC"/>
    <w:rsid w:val="00430B21"/>
    <w:rsid w:val="00430B48"/>
    <w:rsid w:val="00430D79"/>
    <w:rsid w:val="004310E5"/>
    <w:rsid w:val="0043142A"/>
    <w:rsid w:val="00431B9A"/>
    <w:rsid w:val="00431F3A"/>
    <w:rsid w:val="00432074"/>
    <w:rsid w:val="00432B2B"/>
    <w:rsid w:val="00432D36"/>
    <w:rsid w:val="00433046"/>
    <w:rsid w:val="00433564"/>
    <w:rsid w:val="00433A13"/>
    <w:rsid w:val="00433EF7"/>
    <w:rsid w:val="00434291"/>
    <w:rsid w:val="004343CA"/>
    <w:rsid w:val="00434B47"/>
    <w:rsid w:val="00434B88"/>
    <w:rsid w:val="00435208"/>
    <w:rsid w:val="00435B5F"/>
    <w:rsid w:val="004361D8"/>
    <w:rsid w:val="0043658A"/>
    <w:rsid w:val="00436791"/>
    <w:rsid w:val="00436AE3"/>
    <w:rsid w:val="00436C26"/>
    <w:rsid w:val="00436EEE"/>
    <w:rsid w:val="00436F01"/>
    <w:rsid w:val="004371A8"/>
    <w:rsid w:val="00437274"/>
    <w:rsid w:val="00437338"/>
    <w:rsid w:val="00437931"/>
    <w:rsid w:val="00437A18"/>
    <w:rsid w:val="00440162"/>
    <w:rsid w:val="00440E0F"/>
    <w:rsid w:val="00441552"/>
    <w:rsid w:val="004421C6"/>
    <w:rsid w:val="00442778"/>
    <w:rsid w:val="00442A63"/>
    <w:rsid w:val="00442F07"/>
    <w:rsid w:val="004434C4"/>
    <w:rsid w:val="00444012"/>
    <w:rsid w:val="00444033"/>
    <w:rsid w:val="004441B8"/>
    <w:rsid w:val="00444C20"/>
    <w:rsid w:val="00445166"/>
    <w:rsid w:val="00445571"/>
    <w:rsid w:val="00445648"/>
    <w:rsid w:val="00445762"/>
    <w:rsid w:val="00445837"/>
    <w:rsid w:val="00446181"/>
    <w:rsid w:val="00446307"/>
    <w:rsid w:val="00446A29"/>
    <w:rsid w:val="00447498"/>
    <w:rsid w:val="00447550"/>
    <w:rsid w:val="00447CDA"/>
    <w:rsid w:val="00450227"/>
    <w:rsid w:val="00450E1B"/>
    <w:rsid w:val="00450FB5"/>
    <w:rsid w:val="00451833"/>
    <w:rsid w:val="0045206D"/>
    <w:rsid w:val="004520A3"/>
    <w:rsid w:val="004523E8"/>
    <w:rsid w:val="004524C4"/>
    <w:rsid w:val="00452677"/>
    <w:rsid w:val="00452F1B"/>
    <w:rsid w:val="00453360"/>
    <w:rsid w:val="00453703"/>
    <w:rsid w:val="00453749"/>
    <w:rsid w:val="00453E35"/>
    <w:rsid w:val="00454336"/>
    <w:rsid w:val="00454C3D"/>
    <w:rsid w:val="0045557D"/>
    <w:rsid w:val="004563D8"/>
    <w:rsid w:val="0045650F"/>
    <w:rsid w:val="0045695F"/>
    <w:rsid w:val="004569BB"/>
    <w:rsid w:val="00456F4C"/>
    <w:rsid w:val="00456FEE"/>
    <w:rsid w:val="004579BC"/>
    <w:rsid w:val="00457C4B"/>
    <w:rsid w:val="00457F5D"/>
    <w:rsid w:val="0046020F"/>
    <w:rsid w:val="004603E8"/>
    <w:rsid w:val="00460674"/>
    <w:rsid w:val="00460692"/>
    <w:rsid w:val="00460BC3"/>
    <w:rsid w:val="00460E84"/>
    <w:rsid w:val="00460E93"/>
    <w:rsid w:val="00461CFF"/>
    <w:rsid w:val="00462710"/>
    <w:rsid w:val="004627C7"/>
    <w:rsid w:val="00462D73"/>
    <w:rsid w:val="00463341"/>
    <w:rsid w:val="00463788"/>
    <w:rsid w:val="00464604"/>
    <w:rsid w:val="004646A1"/>
    <w:rsid w:val="00464759"/>
    <w:rsid w:val="00464ECA"/>
    <w:rsid w:val="004650E8"/>
    <w:rsid w:val="00465512"/>
    <w:rsid w:val="00467481"/>
    <w:rsid w:val="004677DC"/>
    <w:rsid w:val="00467C2C"/>
    <w:rsid w:val="00467CAB"/>
    <w:rsid w:val="00467EC7"/>
    <w:rsid w:val="0047063B"/>
    <w:rsid w:val="0047154C"/>
    <w:rsid w:val="00471844"/>
    <w:rsid w:val="00471AC4"/>
    <w:rsid w:val="00472184"/>
    <w:rsid w:val="00473BC2"/>
    <w:rsid w:val="00474279"/>
    <w:rsid w:val="00474C6B"/>
    <w:rsid w:val="00474EAB"/>
    <w:rsid w:val="00475132"/>
    <w:rsid w:val="004753EC"/>
    <w:rsid w:val="00475CA5"/>
    <w:rsid w:val="00475D2C"/>
    <w:rsid w:val="00476DFB"/>
    <w:rsid w:val="004801C7"/>
    <w:rsid w:val="00480D7D"/>
    <w:rsid w:val="00481882"/>
    <w:rsid w:val="004820A7"/>
    <w:rsid w:val="0048278F"/>
    <w:rsid w:val="0048281D"/>
    <w:rsid w:val="00482A25"/>
    <w:rsid w:val="0048367A"/>
    <w:rsid w:val="00483983"/>
    <w:rsid w:val="00483A3D"/>
    <w:rsid w:val="00483C21"/>
    <w:rsid w:val="00483E64"/>
    <w:rsid w:val="00483F2E"/>
    <w:rsid w:val="0048446B"/>
    <w:rsid w:val="00484547"/>
    <w:rsid w:val="00484558"/>
    <w:rsid w:val="00484740"/>
    <w:rsid w:val="00485332"/>
    <w:rsid w:val="0048533A"/>
    <w:rsid w:val="00485AA0"/>
    <w:rsid w:val="00485B4A"/>
    <w:rsid w:val="00485D52"/>
    <w:rsid w:val="0048697B"/>
    <w:rsid w:val="00486A63"/>
    <w:rsid w:val="00486D3E"/>
    <w:rsid w:val="0048741D"/>
    <w:rsid w:val="00487C9D"/>
    <w:rsid w:val="00487E4B"/>
    <w:rsid w:val="004916C4"/>
    <w:rsid w:val="00491B59"/>
    <w:rsid w:val="00492409"/>
    <w:rsid w:val="004926E3"/>
    <w:rsid w:val="00492DB5"/>
    <w:rsid w:val="00493014"/>
    <w:rsid w:val="004936C5"/>
    <w:rsid w:val="00494684"/>
    <w:rsid w:val="00494712"/>
    <w:rsid w:val="00494995"/>
    <w:rsid w:val="00495DA3"/>
    <w:rsid w:val="004969CD"/>
    <w:rsid w:val="00497D3C"/>
    <w:rsid w:val="004A0A58"/>
    <w:rsid w:val="004A0B28"/>
    <w:rsid w:val="004A0BFB"/>
    <w:rsid w:val="004A1187"/>
    <w:rsid w:val="004A1259"/>
    <w:rsid w:val="004A130D"/>
    <w:rsid w:val="004A1358"/>
    <w:rsid w:val="004A1482"/>
    <w:rsid w:val="004A161A"/>
    <w:rsid w:val="004A1B09"/>
    <w:rsid w:val="004A24D3"/>
    <w:rsid w:val="004A271C"/>
    <w:rsid w:val="004A29D4"/>
    <w:rsid w:val="004A31DA"/>
    <w:rsid w:val="004A3451"/>
    <w:rsid w:val="004A38F5"/>
    <w:rsid w:val="004A3A48"/>
    <w:rsid w:val="004A3B57"/>
    <w:rsid w:val="004A3C48"/>
    <w:rsid w:val="004A3D25"/>
    <w:rsid w:val="004A476E"/>
    <w:rsid w:val="004A5A34"/>
    <w:rsid w:val="004A5DE0"/>
    <w:rsid w:val="004A653B"/>
    <w:rsid w:val="004A7A84"/>
    <w:rsid w:val="004B07E2"/>
    <w:rsid w:val="004B103B"/>
    <w:rsid w:val="004B16D3"/>
    <w:rsid w:val="004B1A35"/>
    <w:rsid w:val="004B1F75"/>
    <w:rsid w:val="004B20FC"/>
    <w:rsid w:val="004B2D60"/>
    <w:rsid w:val="004B3205"/>
    <w:rsid w:val="004B384A"/>
    <w:rsid w:val="004B39A0"/>
    <w:rsid w:val="004B3A06"/>
    <w:rsid w:val="004B3C96"/>
    <w:rsid w:val="004B3C9E"/>
    <w:rsid w:val="004B3CC3"/>
    <w:rsid w:val="004B413F"/>
    <w:rsid w:val="004B4DF5"/>
    <w:rsid w:val="004B50F7"/>
    <w:rsid w:val="004B519D"/>
    <w:rsid w:val="004B52D5"/>
    <w:rsid w:val="004B57D5"/>
    <w:rsid w:val="004B617B"/>
    <w:rsid w:val="004B6242"/>
    <w:rsid w:val="004B69C0"/>
    <w:rsid w:val="004B6EEF"/>
    <w:rsid w:val="004B705B"/>
    <w:rsid w:val="004B772C"/>
    <w:rsid w:val="004B79F5"/>
    <w:rsid w:val="004B7C21"/>
    <w:rsid w:val="004B7D25"/>
    <w:rsid w:val="004C067C"/>
    <w:rsid w:val="004C0D38"/>
    <w:rsid w:val="004C0EE7"/>
    <w:rsid w:val="004C1FEC"/>
    <w:rsid w:val="004C2068"/>
    <w:rsid w:val="004C2379"/>
    <w:rsid w:val="004C2391"/>
    <w:rsid w:val="004C2395"/>
    <w:rsid w:val="004C2587"/>
    <w:rsid w:val="004C2979"/>
    <w:rsid w:val="004C3414"/>
    <w:rsid w:val="004C3B38"/>
    <w:rsid w:val="004C3ED1"/>
    <w:rsid w:val="004C4CAC"/>
    <w:rsid w:val="004C4CCE"/>
    <w:rsid w:val="004C4DAD"/>
    <w:rsid w:val="004C5C21"/>
    <w:rsid w:val="004C5DC7"/>
    <w:rsid w:val="004C5ED4"/>
    <w:rsid w:val="004C676A"/>
    <w:rsid w:val="004C79A5"/>
    <w:rsid w:val="004C7ECE"/>
    <w:rsid w:val="004D02CC"/>
    <w:rsid w:val="004D065A"/>
    <w:rsid w:val="004D070E"/>
    <w:rsid w:val="004D0D55"/>
    <w:rsid w:val="004D1192"/>
    <w:rsid w:val="004D140A"/>
    <w:rsid w:val="004D1CAA"/>
    <w:rsid w:val="004D222E"/>
    <w:rsid w:val="004D2AA7"/>
    <w:rsid w:val="004D361B"/>
    <w:rsid w:val="004D37FF"/>
    <w:rsid w:val="004D3B0B"/>
    <w:rsid w:val="004D43CC"/>
    <w:rsid w:val="004D4A1A"/>
    <w:rsid w:val="004D4B4C"/>
    <w:rsid w:val="004D4F3F"/>
    <w:rsid w:val="004D5131"/>
    <w:rsid w:val="004D5A96"/>
    <w:rsid w:val="004D5C4D"/>
    <w:rsid w:val="004D63D8"/>
    <w:rsid w:val="004D6592"/>
    <w:rsid w:val="004D69F0"/>
    <w:rsid w:val="004D6F4D"/>
    <w:rsid w:val="004D7552"/>
    <w:rsid w:val="004D7A6A"/>
    <w:rsid w:val="004D7EF7"/>
    <w:rsid w:val="004E073E"/>
    <w:rsid w:val="004E080A"/>
    <w:rsid w:val="004E180A"/>
    <w:rsid w:val="004E18F3"/>
    <w:rsid w:val="004E2210"/>
    <w:rsid w:val="004E3711"/>
    <w:rsid w:val="004E3963"/>
    <w:rsid w:val="004E4B3E"/>
    <w:rsid w:val="004E4F33"/>
    <w:rsid w:val="004E5619"/>
    <w:rsid w:val="004E5FBD"/>
    <w:rsid w:val="004E6198"/>
    <w:rsid w:val="004E6889"/>
    <w:rsid w:val="004E717A"/>
    <w:rsid w:val="004E76C1"/>
    <w:rsid w:val="004E7E32"/>
    <w:rsid w:val="004F01F1"/>
    <w:rsid w:val="004F02D8"/>
    <w:rsid w:val="004F06F5"/>
    <w:rsid w:val="004F11A3"/>
    <w:rsid w:val="004F1514"/>
    <w:rsid w:val="004F1F7F"/>
    <w:rsid w:val="004F223A"/>
    <w:rsid w:val="004F2C1D"/>
    <w:rsid w:val="004F2D2A"/>
    <w:rsid w:val="004F30D8"/>
    <w:rsid w:val="004F335F"/>
    <w:rsid w:val="004F370B"/>
    <w:rsid w:val="004F3BE1"/>
    <w:rsid w:val="004F3D64"/>
    <w:rsid w:val="004F3E55"/>
    <w:rsid w:val="004F3F46"/>
    <w:rsid w:val="004F4F33"/>
    <w:rsid w:val="004F5262"/>
    <w:rsid w:val="004F602B"/>
    <w:rsid w:val="004F659B"/>
    <w:rsid w:val="004F68FB"/>
    <w:rsid w:val="004F761A"/>
    <w:rsid w:val="004F7721"/>
    <w:rsid w:val="004F7A65"/>
    <w:rsid w:val="004F7D23"/>
    <w:rsid w:val="004F7EBE"/>
    <w:rsid w:val="00500CE7"/>
    <w:rsid w:val="00500D24"/>
    <w:rsid w:val="00500DEE"/>
    <w:rsid w:val="00500F57"/>
    <w:rsid w:val="005010BB"/>
    <w:rsid w:val="00501A1D"/>
    <w:rsid w:val="00501F44"/>
    <w:rsid w:val="00502000"/>
    <w:rsid w:val="00502A50"/>
    <w:rsid w:val="00503530"/>
    <w:rsid w:val="00504030"/>
    <w:rsid w:val="00504555"/>
    <w:rsid w:val="0050476E"/>
    <w:rsid w:val="0050494A"/>
    <w:rsid w:val="00504A11"/>
    <w:rsid w:val="00504A75"/>
    <w:rsid w:val="00505151"/>
    <w:rsid w:val="00505739"/>
    <w:rsid w:val="00505C88"/>
    <w:rsid w:val="0050710E"/>
    <w:rsid w:val="005102B4"/>
    <w:rsid w:val="005110C9"/>
    <w:rsid w:val="00511573"/>
    <w:rsid w:val="00512B73"/>
    <w:rsid w:val="00513482"/>
    <w:rsid w:val="0051364A"/>
    <w:rsid w:val="005139E5"/>
    <w:rsid w:val="00514187"/>
    <w:rsid w:val="0051438B"/>
    <w:rsid w:val="00514D3D"/>
    <w:rsid w:val="0051517D"/>
    <w:rsid w:val="00515D81"/>
    <w:rsid w:val="00516157"/>
    <w:rsid w:val="00516313"/>
    <w:rsid w:val="00516B1D"/>
    <w:rsid w:val="005179AD"/>
    <w:rsid w:val="00517A85"/>
    <w:rsid w:val="005209FB"/>
    <w:rsid w:val="00520CF9"/>
    <w:rsid w:val="0052115F"/>
    <w:rsid w:val="00521957"/>
    <w:rsid w:val="0052262D"/>
    <w:rsid w:val="00522AE4"/>
    <w:rsid w:val="00523B30"/>
    <w:rsid w:val="00523D23"/>
    <w:rsid w:val="005240C7"/>
    <w:rsid w:val="00524149"/>
    <w:rsid w:val="005241CF"/>
    <w:rsid w:val="00525085"/>
    <w:rsid w:val="0052564F"/>
    <w:rsid w:val="00525B88"/>
    <w:rsid w:val="005265A5"/>
    <w:rsid w:val="00526956"/>
    <w:rsid w:val="005269C3"/>
    <w:rsid w:val="00526F50"/>
    <w:rsid w:val="00527B14"/>
    <w:rsid w:val="005300E5"/>
    <w:rsid w:val="00530762"/>
    <w:rsid w:val="005308FB"/>
    <w:rsid w:val="00530992"/>
    <w:rsid w:val="0053175E"/>
    <w:rsid w:val="00531CDA"/>
    <w:rsid w:val="0053207B"/>
    <w:rsid w:val="005329CA"/>
    <w:rsid w:val="005339F8"/>
    <w:rsid w:val="00533E84"/>
    <w:rsid w:val="00534314"/>
    <w:rsid w:val="0053441D"/>
    <w:rsid w:val="005345F8"/>
    <w:rsid w:val="005349EB"/>
    <w:rsid w:val="00534F4E"/>
    <w:rsid w:val="00535311"/>
    <w:rsid w:val="0053533F"/>
    <w:rsid w:val="0053582E"/>
    <w:rsid w:val="00535AAF"/>
    <w:rsid w:val="00535E25"/>
    <w:rsid w:val="0053638B"/>
    <w:rsid w:val="005364DB"/>
    <w:rsid w:val="005366D6"/>
    <w:rsid w:val="00536C6B"/>
    <w:rsid w:val="00536FF4"/>
    <w:rsid w:val="0053703D"/>
    <w:rsid w:val="005372A0"/>
    <w:rsid w:val="00537743"/>
    <w:rsid w:val="0053774A"/>
    <w:rsid w:val="0054038F"/>
    <w:rsid w:val="0054052B"/>
    <w:rsid w:val="00540572"/>
    <w:rsid w:val="00540A67"/>
    <w:rsid w:val="00540BEE"/>
    <w:rsid w:val="00541C26"/>
    <w:rsid w:val="00542426"/>
    <w:rsid w:val="005424B0"/>
    <w:rsid w:val="00542A44"/>
    <w:rsid w:val="005430CA"/>
    <w:rsid w:val="005430CC"/>
    <w:rsid w:val="0054324F"/>
    <w:rsid w:val="00543537"/>
    <w:rsid w:val="00543D9B"/>
    <w:rsid w:val="00544046"/>
    <w:rsid w:val="0054450E"/>
    <w:rsid w:val="0054537A"/>
    <w:rsid w:val="0054666A"/>
    <w:rsid w:val="00546802"/>
    <w:rsid w:val="005469A3"/>
    <w:rsid w:val="00546C2C"/>
    <w:rsid w:val="00546C6D"/>
    <w:rsid w:val="00546F12"/>
    <w:rsid w:val="005473E2"/>
    <w:rsid w:val="00550BD9"/>
    <w:rsid w:val="00551035"/>
    <w:rsid w:val="0055116B"/>
    <w:rsid w:val="00551A0D"/>
    <w:rsid w:val="00551D3C"/>
    <w:rsid w:val="00551DF2"/>
    <w:rsid w:val="0055208B"/>
    <w:rsid w:val="00552699"/>
    <w:rsid w:val="00552B11"/>
    <w:rsid w:val="00553290"/>
    <w:rsid w:val="005535B1"/>
    <w:rsid w:val="005538D5"/>
    <w:rsid w:val="005540B9"/>
    <w:rsid w:val="005549EB"/>
    <w:rsid w:val="0055538D"/>
    <w:rsid w:val="005556CB"/>
    <w:rsid w:val="0055570E"/>
    <w:rsid w:val="00555DF2"/>
    <w:rsid w:val="005566FD"/>
    <w:rsid w:val="00556721"/>
    <w:rsid w:val="005576E1"/>
    <w:rsid w:val="00557CED"/>
    <w:rsid w:val="00557E51"/>
    <w:rsid w:val="00557F1B"/>
    <w:rsid w:val="00560291"/>
    <w:rsid w:val="00560354"/>
    <w:rsid w:val="00560EB7"/>
    <w:rsid w:val="00561004"/>
    <w:rsid w:val="00561A8A"/>
    <w:rsid w:val="00561D75"/>
    <w:rsid w:val="00562049"/>
    <w:rsid w:val="005622AF"/>
    <w:rsid w:val="00562EF3"/>
    <w:rsid w:val="00563A0F"/>
    <w:rsid w:val="00563AF7"/>
    <w:rsid w:val="00564024"/>
    <w:rsid w:val="0056469D"/>
    <w:rsid w:val="00564AD0"/>
    <w:rsid w:val="005650AA"/>
    <w:rsid w:val="00565241"/>
    <w:rsid w:val="005653E5"/>
    <w:rsid w:val="00565418"/>
    <w:rsid w:val="00565724"/>
    <w:rsid w:val="00566732"/>
    <w:rsid w:val="00566C08"/>
    <w:rsid w:val="00566DD9"/>
    <w:rsid w:val="00566ECD"/>
    <w:rsid w:val="005703E0"/>
    <w:rsid w:val="005704B8"/>
    <w:rsid w:val="00570E21"/>
    <w:rsid w:val="00571248"/>
    <w:rsid w:val="005715E6"/>
    <w:rsid w:val="005718E8"/>
    <w:rsid w:val="00571BE0"/>
    <w:rsid w:val="00571C85"/>
    <w:rsid w:val="00571DBC"/>
    <w:rsid w:val="00571FA1"/>
    <w:rsid w:val="005733FB"/>
    <w:rsid w:val="0057377C"/>
    <w:rsid w:val="00573A3A"/>
    <w:rsid w:val="00573CBA"/>
    <w:rsid w:val="00574120"/>
    <w:rsid w:val="00574A13"/>
    <w:rsid w:val="00574A46"/>
    <w:rsid w:val="00574E40"/>
    <w:rsid w:val="00575EBE"/>
    <w:rsid w:val="00575EC8"/>
    <w:rsid w:val="00576A47"/>
    <w:rsid w:val="00576FA6"/>
    <w:rsid w:val="0057736A"/>
    <w:rsid w:val="005774A8"/>
    <w:rsid w:val="00577CF4"/>
    <w:rsid w:val="005800F9"/>
    <w:rsid w:val="005803A7"/>
    <w:rsid w:val="00580939"/>
    <w:rsid w:val="00580E51"/>
    <w:rsid w:val="00580E5E"/>
    <w:rsid w:val="00581609"/>
    <w:rsid w:val="00581732"/>
    <w:rsid w:val="00581756"/>
    <w:rsid w:val="00581AE4"/>
    <w:rsid w:val="00582261"/>
    <w:rsid w:val="0058260B"/>
    <w:rsid w:val="00582A0E"/>
    <w:rsid w:val="00582C95"/>
    <w:rsid w:val="00582D9A"/>
    <w:rsid w:val="005832D5"/>
    <w:rsid w:val="00583763"/>
    <w:rsid w:val="005837CC"/>
    <w:rsid w:val="00583D43"/>
    <w:rsid w:val="00584B01"/>
    <w:rsid w:val="00584F18"/>
    <w:rsid w:val="005851C2"/>
    <w:rsid w:val="0058550C"/>
    <w:rsid w:val="00585EC8"/>
    <w:rsid w:val="005865A9"/>
    <w:rsid w:val="00586DDA"/>
    <w:rsid w:val="00586F7A"/>
    <w:rsid w:val="00587244"/>
    <w:rsid w:val="0058734E"/>
    <w:rsid w:val="005874CE"/>
    <w:rsid w:val="00587DD8"/>
    <w:rsid w:val="00590B69"/>
    <w:rsid w:val="0059151B"/>
    <w:rsid w:val="00592A88"/>
    <w:rsid w:val="00592BAF"/>
    <w:rsid w:val="00593277"/>
    <w:rsid w:val="005937C9"/>
    <w:rsid w:val="00593E03"/>
    <w:rsid w:val="0059410F"/>
    <w:rsid w:val="0059434C"/>
    <w:rsid w:val="00594402"/>
    <w:rsid w:val="005963B4"/>
    <w:rsid w:val="00596E57"/>
    <w:rsid w:val="0059705E"/>
    <w:rsid w:val="0059720D"/>
    <w:rsid w:val="00597363"/>
    <w:rsid w:val="005975C9"/>
    <w:rsid w:val="00597716"/>
    <w:rsid w:val="005977C2"/>
    <w:rsid w:val="00597A50"/>
    <w:rsid w:val="00597AE0"/>
    <w:rsid w:val="005A01CA"/>
    <w:rsid w:val="005A0322"/>
    <w:rsid w:val="005A0F48"/>
    <w:rsid w:val="005A16EE"/>
    <w:rsid w:val="005A1AF6"/>
    <w:rsid w:val="005A1CE2"/>
    <w:rsid w:val="005A1DC7"/>
    <w:rsid w:val="005A1DEE"/>
    <w:rsid w:val="005A1F9C"/>
    <w:rsid w:val="005A210C"/>
    <w:rsid w:val="005A28FE"/>
    <w:rsid w:val="005A2A13"/>
    <w:rsid w:val="005A3718"/>
    <w:rsid w:val="005A3773"/>
    <w:rsid w:val="005A3A60"/>
    <w:rsid w:val="005A43F2"/>
    <w:rsid w:val="005A4E71"/>
    <w:rsid w:val="005A5428"/>
    <w:rsid w:val="005A5681"/>
    <w:rsid w:val="005A5894"/>
    <w:rsid w:val="005A5A48"/>
    <w:rsid w:val="005A65E3"/>
    <w:rsid w:val="005A6A90"/>
    <w:rsid w:val="005A6E0D"/>
    <w:rsid w:val="005A6E33"/>
    <w:rsid w:val="005A7817"/>
    <w:rsid w:val="005B0758"/>
    <w:rsid w:val="005B0B8F"/>
    <w:rsid w:val="005B0E63"/>
    <w:rsid w:val="005B0FA7"/>
    <w:rsid w:val="005B13C4"/>
    <w:rsid w:val="005B19DB"/>
    <w:rsid w:val="005B2D8E"/>
    <w:rsid w:val="005B3085"/>
    <w:rsid w:val="005B33DC"/>
    <w:rsid w:val="005B472D"/>
    <w:rsid w:val="005B4A46"/>
    <w:rsid w:val="005B5399"/>
    <w:rsid w:val="005B589D"/>
    <w:rsid w:val="005B5B53"/>
    <w:rsid w:val="005B766A"/>
    <w:rsid w:val="005B7D5E"/>
    <w:rsid w:val="005C0579"/>
    <w:rsid w:val="005C06C6"/>
    <w:rsid w:val="005C158D"/>
    <w:rsid w:val="005C181C"/>
    <w:rsid w:val="005C1F97"/>
    <w:rsid w:val="005C25E7"/>
    <w:rsid w:val="005C31E6"/>
    <w:rsid w:val="005C33DF"/>
    <w:rsid w:val="005C389E"/>
    <w:rsid w:val="005C3CD3"/>
    <w:rsid w:val="005C4A08"/>
    <w:rsid w:val="005C4C63"/>
    <w:rsid w:val="005C5A68"/>
    <w:rsid w:val="005C60A9"/>
    <w:rsid w:val="005C6F40"/>
    <w:rsid w:val="005C6F8B"/>
    <w:rsid w:val="005C785F"/>
    <w:rsid w:val="005C7977"/>
    <w:rsid w:val="005C7ED3"/>
    <w:rsid w:val="005D011C"/>
    <w:rsid w:val="005D0D70"/>
    <w:rsid w:val="005D0DCB"/>
    <w:rsid w:val="005D1F44"/>
    <w:rsid w:val="005D21FF"/>
    <w:rsid w:val="005D2357"/>
    <w:rsid w:val="005D23E6"/>
    <w:rsid w:val="005D303C"/>
    <w:rsid w:val="005D34F3"/>
    <w:rsid w:val="005D38E3"/>
    <w:rsid w:val="005D4218"/>
    <w:rsid w:val="005D4727"/>
    <w:rsid w:val="005D5273"/>
    <w:rsid w:val="005D65BA"/>
    <w:rsid w:val="005D6C74"/>
    <w:rsid w:val="005D7113"/>
    <w:rsid w:val="005D7310"/>
    <w:rsid w:val="005D7519"/>
    <w:rsid w:val="005D7540"/>
    <w:rsid w:val="005D7AA6"/>
    <w:rsid w:val="005D7FC7"/>
    <w:rsid w:val="005E004B"/>
    <w:rsid w:val="005E0145"/>
    <w:rsid w:val="005E060D"/>
    <w:rsid w:val="005E0DE3"/>
    <w:rsid w:val="005E122D"/>
    <w:rsid w:val="005E12BF"/>
    <w:rsid w:val="005E132D"/>
    <w:rsid w:val="005E1642"/>
    <w:rsid w:val="005E1722"/>
    <w:rsid w:val="005E1B79"/>
    <w:rsid w:val="005E2901"/>
    <w:rsid w:val="005E2DF4"/>
    <w:rsid w:val="005E323A"/>
    <w:rsid w:val="005E33C5"/>
    <w:rsid w:val="005E39E4"/>
    <w:rsid w:val="005E3F5A"/>
    <w:rsid w:val="005E40CA"/>
    <w:rsid w:val="005E4491"/>
    <w:rsid w:val="005E47B5"/>
    <w:rsid w:val="005E4E72"/>
    <w:rsid w:val="005E5B34"/>
    <w:rsid w:val="005E5B82"/>
    <w:rsid w:val="005E5C9F"/>
    <w:rsid w:val="005E5D49"/>
    <w:rsid w:val="005E60DC"/>
    <w:rsid w:val="005E694B"/>
    <w:rsid w:val="005E7397"/>
    <w:rsid w:val="005E75A6"/>
    <w:rsid w:val="005E7830"/>
    <w:rsid w:val="005F0186"/>
    <w:rsid w:val="005F0A04"/>
    <w:rsid w:val="005F0F5B"/>
    <w:rsid w:val="005F119F"/>
    <w:rsid w:val="005F15B2"/>
    <w:rsid w:val="005F2266"/>
    <w:rsid w:val="005F2556"/>
    <w:rsid w:val="005F2764"/>
    <w:rsid w:val="005F2D69"/>
    <w:rsid w:val="005F3266"/>
    <w:rsid w:val="005F34AC"/>
    <w:rsid w:val="005F34E0"/>
    <w:rsid w:val="005F4617"/>
    <w:rsid w:val="005F469C"/>
    <w:rsid w:val="005F4D8B"/>
    <w:rsid w:val="005F530A"/>
    <w:rsid w:val="005F55D7"/>
    <w:rsid w:val="005F593B"/>
    <w:rsid w:val="005F6274"/>
    <w:rsid w:val="005F64FE"/>
    <w:rsid w:val="005F698D"/>
    <w:rsid w:val="005F6CD6"/>
    <w:rsid w:val="005F6DC3"/>
    <w:rsid w:val="005F75A3"/>
    <w:rsid w:val="005F76C5"/>
    <w:rsid w:val="005F7FBF"/>
    <w:rsid w:val="006001BC"/>
    <w:rsid w:val="00600820"/>
    <w:rsid w:val="00600B78"/>
    <w:rsid w:val="00601613"/>
    <w:rsid w:val="006019A0"/>
    <w:rsid w:val="006023D6"/>
    <w:rsid w:val="00602E26"/>
    <w:rsid w:val="00603139"/>
    <w:rsid w:val="00603494"/>
    <w:rsid w:val="00603C6B"/>
    <w:rsid w:val="00603FC9"/>
    <w:rsid w:val="0060457C"/>
    <w:rsid w:val="006046CC"/>
    <w:rsid w:val="00604CB2"/>
    <w:rsid w:val="00604D65"/>
    <w:rsid w:val="00605344"/>
    <w:rsid w:val="00605853"/>
    <w:rsid w:val="00605970"/>
    <w:rsid w:val="00605AC5"/>
    <w:rsid w:val="00605BA9"/>
    <w:rsid w:val="00605CF9"/>
    <w:rsid w:val="00606B3A"/>
    <w:rsid w:val="00606B3F"/>
    <w:rsid w:val="00606DCF"/>
    <w:rsid w:val="00606E4F"/>
    <w:rsid w:val="0060751D"/>
    <w:rsid w:val="006103D0"/>
    <w:rsid w:val="006118F4"/>
    <w:rsid w:val="0061229F"/>
    <w:rsid w:val="006123C7"/>
    <w:rsid w:val="00613037"/>
    <w:rsid w:val="0061319F"/>
    <w:rsid w:val="00614092"/>
    <w:rsid w:val="00614126"/>
    <w:rsid w:val="00614A46"/>
    <w:rsid w:val="00614FA9"/>
    <w:rsid w:val="006150C9"/>
    <w:rsid w:val="006156C6"/>
    <w:rsid w:val="00615B50"/>
    <w:rsid w:val="00617163"/>
    <w:rsid w:val="00617690"/>
    <w:rsid w:val="00617900"/>
    <w:rsid w:val="00617F61"/>
    <w:rsid w:val="00617F73"/>
    <w:rsid w:val="00620B1E"/>
    <w:rsid w:val="00620F4B"/>
    <w:rsid w:val="006212E2"/>
    <w:rsid w:val="0062133E"/>
    <w:rsid w:val="00621A0D"/>
    <w:rsid w:val="006220E1"/>
    <w:rsid w:val="00622356"/>
    <w:rsid w:val="00622D43"/>
    <w:rsid w:val="00622F7B"/>
    <w:rsid w:val="00623306"/>
    <w:rsid w:val="0062339C"/>
    <w:rsid w:val="00623445"/>
    <w:rsid w:val="006237FE"/>
    <w:rsid w:val="00623A77"/>
    <w:rsid w:val="00624605"/>
    <w:rsid w:val="00624C06"/>
    <w:rsid w:val="00624D16"/>
    <w:rsid w:val="00625515"/>
    <w:rsid w:val="006255EE"/>
    <w:rsid w:val="00625F41"/>
    <w:rsid w:val="00626BA8"/>
    <w:rsid w:val="00626DCA"/>
    <w:rsid w:val="00626E09"/>
    <w:rsid w:val="0062781C"/>
    <w:rsid w:val="00627CB6"/>
    <w:rsid w:val="0063073A"/>
    <w:rsid w:val="00630FF5"/>
    <w:rsid w:val="006314DD"/>
    <w:rsid w:val="00631ACE"/>
    <w:rsid w:val="00632136"/>
    <w:rsid w:val="00632465"/>
    <w:rsid w:val="00632BD2"/>
    <w:rsid w:val="00632CE0"/>
    <w:rsid w:val="00633736"/>
    <w:rsid w:val="00633A90"/>
    <w:rsid w:val="00634035"/>
    <w:rsid w:val="006341C5"/>
    <w:rsid w:val="00634441"/>
    <w:rsid w:val="0063459A"/>
    <w:rsid w:val="00634F3D"/>
    <w:rsid w:val="0063589C"/>
    <w:rsid w:val="00636175"/>
    <w:rsid w:val="00636AC6"/>
    <w:rsid w:val="00636AE4"/>
    <w:rsid w:val="00636F08"/>
    <w:rsid w:val="00637522"/>
    <w:rsid w:val="00637A2D"/>
    <w:rsid w:val="00637B1C"/>
    <w:rsid w:val="00640653"/>
    <w:rsid w:val="0064106B"/>
    <w:rsid w:val="006414FB"/>
    <w:rsid w:val="00641854"/>
    <w:rsid w:val="00641FA2"/>
    <w:rsid w:val="006426C8"/>
    <w:rsid w:val="00643139"/>
    <w:rsid w:val="00643587"/>
    <w:rsid w:val="0064372E"/>
    <w:rsid w:val="00643AFD"/>
    <w:rsid w:val="0064454C"/>
    <w:rsid w:val="00644774"/>
    <w:rsid w:val="006448EF"/>
    <w:rsid w:val="00644CBB"/>
    <w:rsid w:val="00645093"/>
    <w:rsid w:val="006452D8"/>
    <w:rsid w:val="0064548F"/>
    <w:rsid w:val="00645816"/>
    <w:rsid w:val="00645A73"/>
    <w:rsid w:val="006460DC"/>
    <w:rsid w:val="006469C5"/>
    <w:rsid w:val="00646D5E"/>
    <w:rsid w:val="00647690"/>
    <w:rsid w:val="0064776A"/>
    <w:rsid w:val="00647797"/>
    <w:rsid w:val="00647AB5"/>
    <w:rsid w:val="00647AE0"/>
    <w:rsid w:val="00650C97"/>
    <w:rsid w:val="00651043"/>
    <w:rsid w:val="00652765"/>
    <w:rsid w:val="006529A4"/>
    <w:rsid w:val="0065365A"/>
    <w:rsid w:val="006539DC"/>
    <w:rsid w:val="00654A78"/>
    <w:rsid w:val="006552C8"/>
    <w:rsid w:val="00655626"/>
    <w:rsid w:val="00655D34"/>
    <w:rsid w:val="00656A0F"/>
    <w:rsid w:val="00656B00"/>
    <w:rsid w:val="00657016"/>
    <w:rsid w:val="006570F7"/>
    <w:rsid w:val="006571C9"/>
    <w:rsid w:val="00657B56"/>
    <w:rsid w:val="00657B9F"/>
    <w:rsid w:val="00657BD5"/>
    <w:rsid w:val="006601DC"/>
    <w:rsid w:val="006604A7"/>
    <w:rsid w:val="0066062A"/>
    <w:rsid w:val="00660830"/>
    <w:rsid w:val="00660C34"/>
    <w:rsid w:val="0066101C"/>
    <w:rsid w:val="00661695"/>
    <w:rsid w:val="00661D69"/>
    <w:rsid w:val="0066252A"/>
    <w:rsid w:val="00662A83"/>
    <w:rsid w:val="00662D98"/>
    <w:rsid w:val="0066323C"/>
    <w:rsid w:val="0066379E"/>
    <w:rsid w:val="00664164"/>
    <w:rsid w:val="00664517"/>
    <w:rsid w:val="006647E9"/>
    <w:rsid w:val="00664BB1"/>
    <w:rsid w:val="00664C9B"/>
    <w:rsid w:val="0066509B"/>
    <w:rsid w:val="006662D5"/>
    <w:rsid w:val="006663A6"/>
    <w:rsid w:val="00666401"/>
    <w:rsid w:val="00666D05"/>
    <w:rsid w:val="00666E94"/>
    <w:rsid w:val="006671B7"/>
    <w:rsid w:val="006674CA"/>
    <w:rsid w:val="00670106"/>
    <w:rsid w:val="0067053F"/>
    <w:rsid w:val="006705F4"/>
    <w:rsid w:val="006707A0"/>
    <w:rsid w:val="00670851"/>
    <w:rsid w:val="00670ED3"/>
    <w:rsid w:val="0067175B"/>
    <w:rsid w:val="00671BF4"/>
    <w:rsid w:val="00672175"/>
    <w:rsid w:val="00672A24"/>
    <w:rsid w:val="00672BE9"/>
    <w:rsid w:val="0067348B"/>
    <w:rsid w:val="0067365D"/>
    <w:rsid w:val="00673775"/>
    <w:rsid w:val="006748DC"/>
    <w:rsid w:val="0067511A"/>
    <w:rsid w:val="0067576F"/>
    <w:rsid w:val="00675E90"/>
    <w:rsid w:val="006762CA"/>
    <w:rsid w:val="006766E4"/>
    <w:rsid w:val="00676807"/>
    <w:rsid w:val="00676D07"/>
    <w:rsid w:val="00677791"/>
    <w:rsid w:val="00677866"/>
    <w:rsid w:val="0068030D"/>
    <w:rsid w:val="00681673"/>
    <w:rsid w:val="0068169A"/>
    <w:rsid w:val="00681F36"/>
    <w:rsid w:val="00682417"/>
    <w:rsid w:val="006828D8"/>
    <w:rsid w:val="00683385"/>
    <w:rsid w:val="0068375C"/>
    <w:rsid w:val="00683782"/>
    <w:rsid w:val="006837EB"/>
    <w:rsid w:val="006846CD"/>
    <w:rsid w:val="006848D2"/>
    <w:rsid w:val="00684A71"/>
    <w:rsid w:val="00684E48"/>
    <w:rsid w:val="00685C94"/>
    <w:rsid w:val="00685DDD"/>
    <w:rsid w:val="00685F6B"/>
    <w:rsid w:val="00686507"/>
    <w:rsid w:val="00686760"/>
    <w:rsid w:val="0068756F"/>
    <w:rsid w:val="00687A1B"/>
    <w:rsid w:val="00690190"/>
    <w:rsid w:val="006902C1"/>
    <w:rsid w:val="0069037A"/>
    <w:rsid w:val="00690C67"/>
    <w:rsid w:val="00691B28"/>
    <w:rsid w:val="00691FA3"/>
    <w:rsid w:val="00691FF0"/>
    <w:rsid w:val="0069211B"/>
    <w:rsid w:val="006921B0"/>
    <w:rsid w:val="00692522"/>
    <w:rsid w:val="00692763"/>
    <w:rsid w:val="00692EB9"/>
    <w:rsid w:val="00692EBB"/>
    <w:rsid w:val="00693253"/>
    <w:rsid w:val="00693BE9"/>
    <w:rsid w:val="00693C55"/>
    <w:rsid w:val="00694139"/>
    <w:rsid w:val="006943B2"/>
    <w:rsid w:val="00694A2E"/>
    <w:rsid w:val="00694ACF"/>
    <w:rsid w:val="00694DC5"/>
    <w:rsid w:val="00694E8C"/>
    <w:rsid w:val="00694FE5"/>
    <w:rsid w:val="006959C9"/>
    <w:rsid w:val="00695A13"/>
    <w:rsid w:val="00695F8F"/>
    <w:rsid w:val="00696285"/>
    <w:rsid w:val="0069649F"/>
    <w:rsid w:val="00696545"/>
    <w:rsid w:val="00696C67"/>
    <w:rsid w:val="00696CF3"/>
    <w:rsid w:val="00697137"/>
    <w:rsid w:val="006972D9"/>
    <w:rsid w:val="00697378"/>
    <w:rsid w:val="00697EF4"/>
    <w:rsid w:val="006A0383"/>
    <w:rsid w:val="006A05D3"/>
    <w:rsid w:val="006A0723"/>
    <w:rsid w:val="006A08BD"/>
    <w:rsid w:val="006A09FE"/>
    <w:rsid w:val="006A1303"/>
    <w:rsid w:val="006A14EF"/>
    <w:rsid w:val="006A192F"/>
    <w:rsid w:val="006A1941"/>
    <w:rsid w:val="006A2AEA"/>
    <w:rsid w:val="006A2B3A"/>
    <w:rsid w:val="006A3203"/>
    <w:rsid w:val="006A37E9"/>
    <w:rsid w:val="006A3E4E"/>
    <w:rsid w:val="006A40EA"/>
    <w:rsid w:val="006A4284"/>
    <w:rsid w:val="006A4554"/>
    <w:rsid w:val="006A46ED"/>
    <w:rsid w:val="006A5D2C"/>
    <w:rsid w:val="006A5E12"/>
    <w:rsid w:val="006A6970"/>
    <w:rsid w:val="006A6BE6"/>
    <w:rsid w:val="006A6C41"/>
    <w:rsid w:val="006B06AF"/>
    <w:rsid w:val="006B076C"/>
    <w:rsid w:val="006B0B67"/>
    <w:rsid w:val="006B1121"/>
    <w:rsid w:val="006B146F"/>
    <w:rsid w:val="006B14ED"/>
    <w:rsid w:val="006B2107"/>
    <w:rsid w:val="006B2240"/>
    <w:rsid w:val="006B241A"/>
    <w:rsid w:val="006B25B4"/>
    <w:rsid w:val="006B28B4"/>
    <w:rsid w:val="006B2C41"/>
    <w:rsid w:val="006B2E4C"/>
    <w:rsid w:val="006B3366"/>
    <w:rsid w:val="006B33B3"/>
    <w:rsid w:val="006B3663"/>
    <w:rsid w:val="006B383C"/>
    <w:rsid w:val="006B3BB2"/>
    <w:rsid w:val="006B3D39"/>
    <w:rsid w:val="006B3FBB"/>
    <w:rsid w:val="006B3FFC"/>
    <w:rsid w:val="006B41FC"/>
    <w:rsid w:val="006B439F"/>
    <w:rsid w:val="006B47ED"/>
    <w:rsid w:val="006B5926"/>
    <w:rsid w:val="006B5CFD"/>
    <w:rsid w:val="006B6242"/>
    <w:rsid w:val="006B755B"/>
    <w:rsid w:val="006B7D04"/>
    <w:rsid w:val="006B7D4E"/>
    <w:rsid w:val="006B7DF0"/>
    <w:rsid w:val="006B7E31"/>
    <w:rsid w:val="006C012A"/>
    <w:rsid w:val="006C038D"/>
    <w:rsid w:val="006C0A36"/>
    <w:rsid w:val="006C0EE0"/>
    <w:rsid w:val="006C1136"/>
    <w:rsid w:val="006C122B"/>
    <w:rsid w:val="006C1E20"/>
    <w:rsid w:val="006C348D"/>
    <w:rsid w:val="006C35C8"/>
    <w:rsid w:val="006C373A"/>
    <w:rsid w:val="006C40E1"/>
    <w:rsid w:val="006C4578"/>
    <w:rsid w:val="006C4ECC"/>
    <w:rsid w:val="006C4F6C"/>
    <w:rsid w:val="006C5273"/>
    <w:rsid w:val="006C55B8"/>
    <w:rsid w:val="006C5809"/>
    <w:rsid w:val="006C5A32"/>
    <w:rsid w:val="006C5AB7"/>
    <w:rsid w:val="006C5B47"/>
    <w:rsid w:val="006C60DD"/>
    <w:rsid w:val="006C626B"/>
    <w:rsid w:val="006C67F1"/>
    <w:rsid w:val="006C71BF"/>
    <w:rsid w:val="006C720F"/>
    <w:rsid w:val="006C7760"/>
    <w:rsid w:val="006C7FE2"/>
    <w:rsid w:val="006D0674"/>
    <w:rsid w:val="006D07F7"/>
    <w:rsid w:val="006D0990"/>
    <w:rsid w:val="006D14D2"/>
    <w:rsid w:val="006D18A2"/>
    <w:rsid w:val="006D1A12"/>
    <w:rsid w:val="006D209C"/>
    <w:rsid w:val="006D2301"/>
    <w:rsid w:val="006D2CF6"/>
    <w:rsid w:val="006D30FC"/>
    <w:rsid w:val="006D31B2"/>
    <w:rsid w:val="006D3638"/>
    <w:rsid w:val="006D3F50"/>
    <w:rsid w:val="006D46DD"/>
    <w:rsid w:val="006D4981"/>
    <w:rsid w:val="006D4C36"/>
    <w:rsid w:val="006D55F5"/>
    <w:rsid w:val="006D57B7"/>
    <w:rsid w:val="006D625B"/>
    <w:rsid w:val="006D658B"/>
    <w:rsid w:val="006D6ABF"/>
    <w:rsid w:val="006D6B08"/>
    <w:rsid w:val="006D7035"/>
    <w:rsid w:val="006D76F2"/>
    <w:rsid w:val="006D7ABA"/>
    <w:rsid w:val="006E0722"/>
    <w:rsid w:val="006E1425"/>
    <w:rsid w:val="006E25F2"/>
    <w:rsid w:val="006E2738"/>
    <w:rsid w:val="006E28E9"/>
    <w:rsid w:val="006E34E8"/>
    <w:rsid w:val="006E35C0"/>
    <w:rsid w:val="006E3C61"/>
    <w:rsid w:val="006E3EF9"/>
    <w:rsid w:val="006E41AD"/>
    <w:rsid w:val="006E45DC"/>
    <w:rsid w:val="006E4884"/>
    <w:rsid w:val="006E4F61"/>
    <w:rsid w:val="006E50FB"/>
    <w:rsid w:val="006E643A"/>
    <w:rsid w:val="006E64C9"/>
    <w:rsid w:val="006E651D"/>
    <w:rsid w:val="006E6C1A"/>
    <w:rsid w:val="006E6DE1"/>
    <w:rsid w:val="006E6ED7"/>
    <w:rsid w:val="006E709B"/>
    <w:rsid w:val="006E711F"/>
    <w:rsid w:val="006E7B9D"/>
    <w:rsid w:val="006F1236"/>
    <w:rsid w:val="006F1290"/>
    <w:rsid w:val="006F132C"/>
    <w:rsid w:val="006F297D"/>
    <w:rsid w:val="006F2F51"/>
    <w:rsid w:val="006F3317"/>
    <w:rsid w:val="006F35FB"/>
    <w:rsid w:val="006F363A"/>
    <w:rsid w:val="006F3FC4"/>
    <w:rsid w:val="006F4417"/>
    <w:rsid w:val="006F4863"/>
    <w:rsid w:val="006F4CEE"/>
    <w:rsid w:val="006F5B98"/>
    <w:rsid w:val="006F5ED3"/>
    <w:rsid w:val="006F5FB3"/>
    <w:rsid w:val="006F6282"/>
    <w:rsid w:val="006F7AF6"/>
    <w:rsid w:val="006F7D07"/>
    <w:rsid w:val="007006CE"/>
    <w:rsid w:val="00700780"/>
    <w:rsid w:val="007008EA"/>
    <w:rsid w:val="00701535"/>
    <w:rsid w:val="00701738"/>
    <w:rsid w:val="007018AB"/>
    <w:rsid w:val="00701BB8"/>
    <w:rsid w:val="00702284"/>
    <w:rsid w:val="00702F90"/>
    <w:rsid w:val="00704097"/>
    <w:rsid w:val="00704FF5"/>
    <w:rsid w:val="00705106"/>
    <w:rsid w:val="007052DD"/>
    <w:rsid w:val="0070536E"/>
    <w:rsid w:val="007060A9"/>
    <w:rsid w:val="00706106"/>
    <w:rsid w:val="0070661F"/>
    <w:rsid w:val="00707091"/>
    <w:rsid w:val="007070C5"/>
    <w:rsid w:val="007074D7"/>
    <w:rsid w:val="00710195"/>
    <w:rsid w:val="007101B8"/>
    <w:rsid w:val="0071026A"/>
    <w:rsid w:val="00711894"/>
    <w:rsid w:val="00711937"/>
    <w:rsid w:val="00712CB4"/>
    <w:rsid w:val="00712EBB"/>
    <w:rsid w:val="007133E8"/>
    <w:rsid w:val="00713827"/>
    <w:rsid w:val="00714387"/>
    <w:rsid w:val="00714695"/>
    <w:rsid w:val="007148DC"/>
    <w:rsid w:val="00715AB3"/>
    <w:rsid w:val="007164B1"/>
    <w:rsid w:val="00716953"/>
    <w:rsid w:val="00716B44"/>
    <w:rsid w:val="00716F04"/>
    <w:rsid w:val="00717CBF"/>
    <w:rsid w:val="007200CC"/>
    <w:rsid w:val="0072015E"/>
    <w:rsid w:val="00720EFA"/>
    <w:rsid w:val="00721296"/>
    <w:rsid w:val="00721AD5"/>
    <w:rsid w:val="00721E22"/>
    <w:rsid w:val="00721FB0"/>
    <w:rsid w:val="0072203F"/>
    <w:rsid w:val="00722715"/>
    <w:rsid w:val="00722F5C"/>
    <w:rsid w:val="007239FD"/>
    <w:rsid w:val="00723B63"/>
    <w:rsid w:val="00723F02"/>
    <w:rsid w:val="007246C8"/>
    <w:rsid w:val="00724957"/>
    <w:rsid w:val="00724AE8"/>
    <w:rsid w:val="00724CC2"/>
    <w:rsid w:val="00724D6E"/>
    <w:rsid w:val="00724E37"/>
    <w:rsid w:val="00725153"/>
    <w:rsid w:val="007258EF"/>
    <w:rsid w:val="0072654F"/>
    <w:rsid w:val="0072673F"/>
    <w:rsid w:val="00726A38"/>
    <w:rsid w:val="00726C69"/>
    <w:rsid w:val="0072713A"/>
    <w:rsid w:val="0072731D"/>
    <w:rsid w:val="0072763B"/>
    <w:rsid w:val="00727DBC"/>
    <w:rsid w:val="007308D2"/>
    <w:rsid w:val="00731318"/>
    <w:rsid w:val="00731434"/>
    <w:rsid w:val="00731D2F"/>
    <w:rsid w:val="00731E79"/>
    <w:rsid w:val="0073242C"/>
    <w:rsid w:val="00732C50"/>
    <w:rsid w:val="00733050"/>
    <w:rsid w:val="00733292"/>
    <w:rsid w:val="00733DC3"/>
    <w:rsid w:val="0073473A"/>
    <w:rsid w:val="007347CA"/>
    <w:rsid w:val="0073493F"/>
    <w:rsid w:val="00735433"/>
    <w:rsid w:val="007355DE"/>
    <w:rsid w:val="00735686"/>
    <w:rsid w:val="007358B5"/>
    <w:rsid w:val="00736417"/>
    <w:rsid w:val="00737111"/>
    <w:rsid w:val="0073743B"/>
    <w:rsid w:val="00737A5C"/>
    <w:rsid w:val="00737D88"/>
    <w:rsid w:val="00737DDA"/>
    <w:rsid w:val="0074078C"/>
    <w:rsid w:val="0074085B"/>
    <w:rsid w:val="007409BC"/>
    <w:rsid w:val="00740A45"/>
    <w:rsid w:val="00740AD2"/>
    <w:rsid w:val="0074130B"/>
    <w:rsid w:val="00742CFA"/>
    <w:rsid w:val="00742DC9"/>
    <w:rsid w:val="00743702"/>
    <w:rsid w:val="00743C70"/>
    <w:rsid w:val="00744697"/>
    <w:rsid w:val="00744E02"/>
    <w:rsid w:val="007458B9"/>
    <w:rsid w:val="00745A63"/>
    <w:rsid w:val="00745A94"/>
    <w:rsid w:val="00746845"/>
    <w:rsid w:val="00746D11"/>
    <w:rsid w:val="007478EF"/>
    <w:rsid w:val="00747D85"/>
    <w:rsid w:val="00747F0F"/>
    <w:rsid w:val="00750649"/>
    <w:rsid w:val="0075092F"/>
    <w:rsid w:val="007516CC"/>
    <w:rsid w:val="0075177F"/>
    <w:rsid w:val="00751834"/>
    <w:rsid w:val="00752043"/>
    <w:rsid w:val="00752566"/>
    <w:rsid w:val="00752F3D"/>
    <w:rsid w:val="0075335E"/>
    <w:rsid w:val="007548CA"/>
    <w:rsid w:val="00754CCD"/>
    <w:rsid w:val="0075518E"/>
    <w:rsid w:val="00755DC4"/>
    <w:rsid w:val="00755EE5"/>
    <w:rsid w:val="00756407"/>
    <w:rsid w:val="00756807"/>
    <w:rsid w:val="00756A9B"/>
    <w:rsid w:val="00756E5B"/>
    <w:rsid w:val="00757CB5"/>
    <w:rsid w:val="007600F7"/>
    <w:rsid w:val="00760449"/>
    <w:rsid w:val="00760487"/>
    <w:rsid w:val="00760774"/>
    <w:rsid w:val="0076085C"/>
    <w:rsid w:val="00760BEA"/>
    <w:rsid w:val="00762313"/>
    <w:rsid w:val="0076275E"/>
    <w:rsid w:val="00762A73"/>
    <w:rsid w:val="00762F4C"/>
    <w:rsid w:val="0076332D"/>
    <w:rsid w:val="00763F97"/>
    <w:rsid w:val="007642F7"/>
    <w:rsid w:val="0076436F"/>
    <w:rsid w:val="00764B22"/>
    <w:rsid w:val="00764C48"/>
    <w:rsid w:val="00764D2F"/>
    <w:rsid w:val="007653BD"/>
    <w:rsid w:val="0076599D"/>
    <w:rsid w:val="00767534"/>
    <w:rsid w:val="00767A1A"/>
    <w:rsid w:val="00767BEE"/>
    <w:rsid w:val="00767CB0"/>
    <w:rsid w:val="00767DA7"/>
    <w:rsid w:val="00767F9D"/>
    <w:rsid w:val="007709D3"/>
    <w:rsid w:val="00771106"/>
    <w:rsid w:val="00771BF7"/>
    <w:rsid w:val="0077215D"/>
    <w:rsid w:val="007723F2"/>
    <w:rsid w:val="0077292F"/>
    <w:rsid w:val="00772A82"/>
    <w:rsid w:val="007737E1"/>
    <w:rsid w:val="00774035"/>
    <w:rsid w:val="007745A0"/>
    <w:rsid w:val="0077481F"/>
    <w:rsid w:val="00775106"/>
    <w:rsid w:val="007752FD"/>
    <w:rsid w:val="0077594B"/>
    <w:rsid w:val="00775DEE"/>
    <w:rsid w:val="007760A5"/>
    <w:rsid w:val="007761C6"/>
    <w:rsid w:val="007765A9"/>
    <w:rsid w:val="007768F6"/>
    <w:rsid w:val="00776D1B"/>
    <w:rsid w:val="00777134"/>
    <w:rsid w:val="007772B5"/>
    <w:rsid w:val="00777BA2"/>
    <w:rsid w:val="00777C7A"/>
    <w:rsid w:val="00777FC6"/>
    <w:rsid w:val="0078051C"/>
    <w:rsid w:val="00780555"/>
    <w:rsid w:val="00780BF3"/>
    <w:rsid w:val="00780E4B"/>
    <w:rsid w:val="00781186"/>
    <w:rsid w:val="007811C3"/>
    <w:rsid w:val="00781513"/>
    <w:rsid w:val="0078163A"/>
    <w:rsid w:val="007818DA"/>
    <w:rsid w:val="007821BF"/>
    <w:rsid w:val="00782B93"/>
    <w:rsid w:val="00783562"/>
    <w:rsid w:val="007837FD"/>
    <w:rsid w:val="0078415A"/>
    <w:rsid w:val="00784256"/>
    <w:rsid w:val="00784848"/>
    <w:rsid w:val="00784BBA"/>
    <w:rsid w:val="00785596"/>
    <w:rsid w:val="0078594F"/>
    <w:rsid w:val="00785DB4"/>
    <w:rsid w:val="007867FA"/>
    <w:rsid w:val="0078733B"/>
    <w:rsid w:val="007878BE"/>
    <w:rsid w:val="00787CBE"/>
    <w:rsid w:val="0079047F"/>
    <w:rsid w:val="007906FA"/>
    <w:rsid w:val="00790BD5"/>
    <w:rsid w:val="0079181A"/>
    <w:rsid w:val="00791962"/>
    <w:rsid w:val="00791D57"/>
    <w:rsid w:val="00792F87"/>
    <w:rsid w:val="0079346A"/>
    <w:rsid w:val="0079349F"/>
    <w:rsid w:val="00793531"/>
    <w:rsid w:val="00793832"/>
    <w:rsid w:val="007945C0"/>
    <w:rsid w:val="00794F8C"/>
    <w:rsid w:val="00795469"/>
    <w:rsid w:val="0079582A"/>
    <w:rsid w:val="00795BD7"/>
    <w:rsid w:val="00795C0D"/>
    <w:rsid w:val="00795C9E"/>
    <w:rsid w:val="00795CAC"/>
    <w:rsid w:val="00795CF1"/>
    <w:rsid w:val="00795EF2"/>
    <w:rsid w:val="00796166"/>
    <w:rsid w:val="007962F7"/>
    <w:rsid w:val="007967FF"/>
    <w:rsid w:val="00796905"/>
    <w:rsid w:val="00796CBD"/>
    <w:rsid w:val="00796F80"/>
    <w:rsid w:val="007971DA"/>
    <w:rsid w:val="00797D7D"/>
    <w:rsid w:val="007A0163"/>
    <w:rsid w:val="007A0983"/>
    <w:rsid w:val="007A0D85"/>
    <w:rsid w:val="007A0FC4"/>
    <w:rsid w:val="007A1A8A"/>
    <w:rsid w:val="007A1BB9"/>
    <w:rsid w:val="007A1DA1"/>
    <w:rsid w:val="007A21B2"/>
    <w:rsid w:val="007A2411"/>
    <w:rsid w:val="007A25A0"/>
    <w:rsid w:val="007A2EDB"/>
    <w:rsid w:val="007A362B"/>
    <w:rsid w:val="007A36E6"/>
    <w:rsid w:val="007A3CC7"/>
    <w:rsid w:val="007A3EB4"/>
    <w:rsid w:val="007A4042"/>
    <w:rsid w:val="007A425F"/>
    <w:rsid w:val="007A4E04"/>
    <w:rsid w:val="007A4E81"/>
    <w:rsid w:val="007A5B49"/>
    <w:rsid w:val="007A5EB9"/>
    <w:rsid w:val="007A61DE"/>
    <w:rsid w:val="007A6909"/>
    <w:rsid w:val="007A70C2"/>
    <w:rsid w:val="007A78AE"/>
    <w:rsid w:val="007B00C2"/>
    <w:rsid w:val="007B02E3"/>
    <w:rsid w:val="007B0DBC"/>
    <w:rsid w:val="007B0F56"/>
    <w:rsid w:val="007B1859"/>
    <w:rsid w:val="007B186D"/>
    <w:rsid w:val="007B2B58"/>
    <w:rsid w:val="007B3DB0"/>
    <w:rsid w:val="007B3FAE"/>
    <w:rsid w:val="007B43E1"/>
    <w:rsid w:val="007B44A4"/>
    <w:rsid w:val="007B480F"/>
    <w:rsid w:val="007B48B7"/>
    <w:rsid w:val="007B507E"/>
    <w:rsid w:val="007B59CD"/>
    <w:rsid w:val="007B5E13"/>
    <w:rsid w:val="007B5F83"/>
    <w:rsid w:val="007B624A"/>
    <w:rsid w:val="007B69AF"/>
    <w:rsid w:val="007B7190"/>
    <w:rsid w:val="007B76E4"/>
    <w:rsid w:val="007B7BAE"/>
    <w:rsid w:val="007B7C64"/>
    <w:rsid w:val="007C0CDB"/>
    <w:rsid w:val="007C0E5D"/>
    <w:rsid w:val="007C102C"/>
    <w:rsid w:val="007C15A3"/>
    <w:rsid w:val="007C190B"/>
    <w:rsid w:val="007C1BAD"/>
    <w:rsid w:val="007C1FAB"/>
    <w:rsid w:val="007C262E"/>
    <w:rsid w:val="007C2E66"/>
    <w:rsid w:val="007C3189"/>
    <w:rsid w:val="007C32D5"/>
    <w:rsid w:val="007C3C33"/>
    <w:rsid w:val="007C43AF"/>
    <w:rsid w:val="007C44FC"/>
    <w:rsid w:val="007C45BF"/>
    <w:rsid w:val="007C4765"/>
    <w:rsid w:val="007C4B5F"/>
    <w:rsid w:val="007C4DCA"/>
    <w:rsid w:val="007C5CA9"/>
    <w:rsid w:val="007C5D97"/>
    <w:rsid w:val="007C611D"/>
    <w:rsid w:val="007C6916"/>
    <w:rsid w:val="007C70CE"/>
    <w:rsid w:val="007C70CF"/>
    <w:rsid w:val="007D04A7"/>
    <w:rsid w:val="007D0AB9"/>
    <w:rsid w:val="007D15A9"/>
    <w:rsid w:val="007D18D1"/>
    <w:rsid w:val="007D1952"/>
    <w:rsid w:val="007D19DB"/>
    <w:rsid w:val="007D1B9F"/>
    <w:rsid w:val="007D1F6F"/>
    <w:rsid w:val="007D343A"/>
    <w:rsid w:val="007D3642"/>
    <w:rsid w:val="007D3712"/>
    <w:rsid w:val="007D386C"/>
    <w:rsid w:val="007D3E9C"/>
    <w:rsid w:val="007D3F13"/>
    <w:rsid w:val="007D4A39"/>
    <w:rsid w:val="007D4AD3"/>
    <w:rsid w:val="007D4B4B"/>
    <w:rsid w:val="007D4D7C"/>
    <w:rsid w:val="007D4F3E"/>
    <w:rsid w:val="007D54C2"/>
    <w:rsid w:val="007D6404"/>
    <w:rsid w:val="007D6925"/>
    <w:rsid w:val="007D6A5B"/>
    <w:rsid w:val="007D6C4A"/>
    <w:rsid w:val="007D6FFB"/>
    <w:rsid w:val="007D7131"/>
    <w:rsid w:val="007D753D"/>
    <w:rsid w:val="007D77F1"/>
    <w:rsid w:val="007D7A48"/>
    <w:rsid w:val="007D7B9F"/>
    <w:rsid w:val="007E0779"/>
    <w:rsid w:val="007E1074"/>
    <w:rsid w:val="007E11A9"/>
    <w:rsid w:val="007E11C4"/>
    <w:rsid w:val="007E1C2C"/>
    <w:rsid w:val="007E2653"/>
    <w:rsid w:val="007E27AA"/>
    <w:rsid w:val="007E3100"/>
    <w:rsid w:val="007E39F1"/>
    <w:rsid w:val="007E3E91"/>
    <w:rsid w:val="007E420B"/>
    <w:rsid w:val="007E4320"/>
    <w:rsid w:val="007E4322"/>
    <w:rsid w:val="007E4CC0"/>
    <w:rsid w:val="007E5127"/>
    <w:rsid w:val="007E5399"/>
    <w:rsid w:val="007E5A06"/>
    <w:rsid w:val="007E60C3"/>
    <w:rsid w:val="007E62B9"/>
    <w:rsid w:val="007E6548"/>
    <w:rsid w:val="007E6871"/>
    <w:rsid w:val="007E6C83"/>
    <w:rsid w:val="007E6C9D"/>
    <w:rsid w:val="007E6D09"/>
    <w:rsid w:val="007E7AC5"/>
    <w:rsid w:val="007F040A"/>
    <w:rsid w:val="007F0802"/>
    <w:rsid w:val="007F10BA"/>
    <w:rsid w:val="007F1889"/>
    <w:rsid w:val="007F1B4E"/>
    <w:rsid w:val="007F3B12"/>
    <w:rsid w:val="007F4178"/>
    <w:rsid w:val="007F43A0"/>
    <w:rsid w:val="007F4DA2"/>
    <w:rsid w:val="007F5317"/>
    <w:rsid w:val="007F5450"/>
    <w:rsid w:val="007F5B9E"/>
    <w:rsid w:val="007F5FA4"/>
    <w:rsid w:val="007F64BC"/>
    <w:rsid w:val="007F64E8"/>
    <w:rsid w:val="007F6C7B"/>
    <w:rsid w:val="007F73D7"/>
    <w:rsid w:val="007F7BE2"/>
    <w:rsid w:val="007F7C29"/>
    <w:rsid w:val="008003D1"/>
    <w:rsid w:val="0080060C"/>
    <w:rsid w:val="008008C0"/>
    <w:rsid w:val="008009F0"/>
    <w:rsid w:val="00800A7B"/>
    <w:rsid w:val="008011D4"/>
    <w:rsid w:val="00802223"/>
    <w:rsid w:val="00803132"/>
    <w:rsid w:val="0080355F"/>
    <w:rsid w:val="008037F9"/>
    <w:rsid w:val="00803B26"/>
    <w:rsid w:val="00803DA4"/>
    <w:rsid w:val="00803F22"/>
    <w:rsid w:val="008042D4"/>
    <w:rsid w:val="00804385"/>
    <w:rsid w:val="00804470"/>
    <w:rsid w:val="0080453E"/>
    <w:rsid w:val="008048C2"/>
    <w:rsid w:val="00804E5B"/>
    <w:rsid w:val="008051D0"/>
    <w:rsid w:val="008058AD"/>
    <w:rsid w:val="00805D44"/>
    <w:rsid w:val="0080607A"/>
    <w:rsid w:val="008078AC"/>
    <w:rsid w:val="00810A1F"/>
    <w:rsid w:val="008112B8"/>
    <w:rsid w:val="00811315"/>
    <w:rsid w:val="00811847"/>
    <w:rsid w:val="00811BF3"/>
    <w:rsid w:val="00811D07"/>
    <w:rsid w:val="0081287A"/>
    <w:rsid w:val="00812B09"/>
    <w:rsid w:val="008136BD"/>
    <w:rsid w:val="00813833"/>
    <w:rsid w:val="008149C1"/>
    <w:rsid w:val="00814C94"/>
    <w:rsid w:val="00814D57"/>
    <w:rsid w:val="00815C3E"/>
    <w:rsid w:val="00816004"/>
    <w:rsid w:val="0081666C"/>
    <w:rsid w:val="00816C5D"/>
    <w:rsid w:val="00817022"/>
    <w:rsid w:val="008171BC"/>
    <w:rsid w:val="0081788E"/>
    <w:rsid w:val="00817E78"/>
    <w:rsid w:val="0082053E"/>
    <w:rsid w:val="008207B0"/>
    <w:rsid w:val="008216B6"/>
    <w:rsid w:val="00821B53"/>
    <w:rsid w:val="00821DCA"/>
    <w:rsid w:val="008225BB"/>
    <w:rsid w:val="0082282F"/>
    <w:rsid w:val="00822A15"/>
    <w:rsid w:val="00822B02"/>
    <w:rsid w:val="00822E6D"/>
    <w:rsid w:val="00823221"/>
    <w:rsid w:val="008239E4"/>
    <w:rsid w:val="00823A98"/>
    <w:rsid w:val="00824341"/>
    <w:rsid w:val="008244E9"/>
    <w:rsid w:val="0082459D"/>
    <w:rsid w:val="008252B2"/>
    <w:rsid w:val="008254A5"/>
    <w:rsid w:val="0082550F"/>
    <w:rsid w:val="0082583A"/>
    <w:rsid w:val="008258A7"/>
    <w:rsid w:val="00825E10"/>
    <w:rsid w:val="00825F0B"/>
    <w:rsid w:val="0082623A"/>
    <w:rsid w:val="008262FA"/>
    <w:rsid w:val="008263EA"/>
    <w:rsid w:val="008264AC"/>
    <w:rsid w:val="00826BD1"/>
    <w:rsid w:val="00826EA5"/>
    <w:rsid w:val="00826F43"/>
    <w:rsid w:val="00827088"/>
    <w:rsid w:val="0082766F"/>
    <w:rsid w:val="008277B9"/>
    <w:rsid w:val="00827EE8"/>
    <w:rsid w:val="00827F3C"/>
    <w:rsid w:val="00830030"/>
    <w:rsid w:val="008302EA"/>
    <w:rsid w:val="00830EF2"/>
    <w:rsid w:val="0083216E"/>
    <w:rsid w:val="0083229F"/>
    <w:rsid w:val="008325B0"/>
    <w:rsid w:val="008326A4"/>
    <w:rsid w:val="0083274E"/>
    <w:rsid w:val="00832819"/>
    <w:rsid w:val="00833705"/>
    <w:rsid w:val="0083392D"/>
    <w:rsid w:val="00833CA8"/>
    <w:rsid w:val="00833CF8"/>
    <w:rsid w:val="008342D1"/>
    <w:rsid w:val="00834961"/>
    <w:rsid w:val="00834F22"/>
    <w:rsid w:val="0083500C"/>
    <w:rsid w:val="0083507E"/>
    <w:rsid w:val="00836683"/>
    <w:rsid w:val="00836C5C"/>
    <w:rsid w:val="008378A1"/>
    <w:rsid w:val="00837D8A"/>
    <w:rsid w:val="00840596"/>
    <w:rsid w:val="00840D34"/>
    <w:rsid w:val="0084197A"/>
    <w:rsid w:val="0084220C"/>
    <w:rsid w:val="008427FF"/>
    <w:rsid w:val="00842E94"/>
    <w:rsid w:val="008431DD"/>
    <w:rsid w:val="008434F6"/>
    <w:rsid w:val="008436E2"/>
    <w:rsid w:val="00843781"/>
    <w:rsid w:val="008439E1"/>
    <w:rsid w:val="00844683"/>
    <w:rsid w:val="00844685"/>
    <w:rsid w:val="0084533D"/>
    <w:rsid w:val="00845AAD"/>
    <w:rsid w:val="00845DB3"/>
    <w:rsid w:val="008468E8"/>
    <w:rsid w:val="00846C16"/>
    <w:rsid w:val="00847017"/>
    <w:rsid w:val="0084708B"/>
    <w:rsid w:val="00847113"/>
    <w:rsid w:val="008508E0"/>
    <w:rsid w:val="008509EC"/>
    <w:rsid w:val="0085146C"/>
    <w:rsid w:val="00851A2F"/>
    <w:rsid w:val="00851F71"/>
    <w:rsid w:val="008524C5"/>
    <w:rsid w:val="008532A5"/>
    <w:rsid w:val="0085361C"/>
    <w:rsid w:val="00853BA0"/>
    <w:rsid w:val="00853E73"/>
    <w:rsid w:val="008543C0"/>
    <w:rsid w:val="00854708"/>
    <w:rsid w:val="008549BB"/>
    <w:rsid w:val="00854BD2"/>
    <w:rsid w:val="00855004"/>
    <w:rsid w:val="00855B43"/>
    <w:rsid w:val="00855C3F"/>
    <w:rsid w:val="00855CAD"/>
    <w:rsid w:val="00856B40"/>
    <w:rsid w:val="00857074"/>
    <w:rsid w:val="00857340"/>
    <w:rsid w:val="008574CA"/>
    <w:rsid w:val="008575A4"/>
    <w:rsid w:val="0085786F"/>
    <w:rsid w:val="00857B24"/>
    <w:rsid w:val="00857C1F"/>
    <w:rsid w:val="00857CF3"/>
    <w:rsid w:val="00857FCA"/>
    <w:rsid w:val="00860B76"/>
    <w:rsid w:val="00860BE8"/>
    <w:rsid w:val="00861810"/>
    <w:rsid w:val="00861A1F"/>
    <w:rsid w:val="00861BF3"/>
    <w:rsid w:val="00862B2E"/>
    <w:rsid w:val="00862F2C"/>
    <w:rsid w:val="008632C8"/>
    <w:rsid w:val="00863609"/>
    <w:rsid w:val="008643E3"/>
    <w:rsid w:val="008644F1"/>
    <w:rsid w:val="00864914"/>
    <w:rsid w:val="008652EF"/>
    <w:rsid w:val="00865F95"/>
    <w:rsid w:val="0086670C"/>
    <w:rsid w:val="008669BC"/>
    <w:rsid w:val="00866FB9"/>
    <w:rsid w:val="008707F3"/>
    <w:rsid w:val="008716B7"/>
    <w:rsid w:val="0087220D"/>
    <w:rsid w:val="008727F9"/>
    <w:rsid w:val="0087289D"/>
    <w:rsid w:val="00873050"/>
    <w:rsid w:val="0087367B"/>
    <w:rsid w:val="00873695"/>
    <w:rsid w:val="00873B13"/>
    <w:rsid w:val="008745C2"/>
    <w:rsid w:val="00874934"/>
    <w:rsid w:val="00874A66"/>
    <w:rsid w:val="00874E7D"/>
    <w:rsid w:val="008751D2"/>
    <w:rsid w:val="00875BF2"/>
    <w:rsid w:val="00875CBF"/>
    <w:rsid w:val="00876238"/>
    <w:rsid w:val="008763E3"/>
    <w:rsid w:val="008768E3"/>
    <w:rsid w:val="0087759D"/>
    <w:rsid w:val="00877922"/>
    <w:rsid w:val="00877DDB"/>
    <w:rsid w:val="00880244"/>
    <w:rsid w:val="008802CF"/>
    <w:rsid w:val="00880330"/>
    <w:rsid w:val="00880C89"/>
    <w:rsid w:val="00880E3E"/>
    <w:rsid w:val="0088123A"/>
    <w:rsid w:val="008815A6"/>
    <w:rsid w:val="00881C6F"/>
    <w:rsid w:val="008823B1"/>
    <w:rsid w:val="008825C6"/>
    <w:rsid w:val="00882912"/>
    <w:rsid w:val="00882AFA"/>
    <w:rsid w:val="00883884"/>
    <w:rsid w:val="00883C4C"/>
    <w:rsid w:val="00883CFB"/>
    <w:rsid w:val="00883DF6"/>
    <w:rsid w:val="008842B3"/>
    <w:rsid w:val="008847FE"/>
    <w:rsid w:val="00884BB1"/>
    <w:rsid w:val="008853D3"/>
    <w:rsid w:val="00885431"/>
    <w:rsid w:val="00885B6F"/>
    <w:rsid w:val="00885F35"/>
    <w:rsid w:val="0088675B"/>
    <w:rsid w:val="00886C13"/>
    <w:rsid w:val="00886E54"/>
    <w:rsid w:val="0088716A"/>
    <w:rsid w:val="00887339"/>
    <w:rsid w:val="00887539"/>
    <w:rsid w:val="008877A3"/>
    <w:rsid w:val="00887859"/>
    <w:rsid w:val="0088791C"/>
    <w:rsid w:val="00887ACE"/>
    <w:rsid w:val="00887C22"/>
    <w:rsid w:val="00887C63"/>
    <w:rsid w:val="00887DD9"/>
    <w:rsid w:val="00890525"/>
    <w:rsid w:val="0089059E"/>
    <w:rsid w:val="00890D0B"/>
    <w:rsid w:val="00890D13"/>
    <w:rsid w:val="008910DD"/>
    <w:rsid w:val="00891125"/>
    <w:rsid w:val="00891953"/>
    <w:rsid w:val="00891AA3"/>
    <w:rsid w:val="00892321"/>
    <w:rsid w:val="008925CC"/>
    <w:rsid w:val="00892672"/>
    <w:rsid w:val="008926A8"/>
    <w:rsid w:val="008928E6"/>
    <w:rsid w:val="008933BB"/>
    <w:rsid w:val="00893631"/>
    <w:rsid w:val="00893732"/>
    <w:rsid w:val="00893F35"/>
    <w:rsid w:val="0089447A"/>
    <w:rsid w:val="0089570B"/>
    <w:rsid w:val="00895C36"/>
    <w:rsid w:val="00896365"/>
    <w:rsid w:val="008964A0"/>
    <w:rsid w:val="00896511"/>
    <w:rsid w:val="00896608"/>
    <w:rsid w:val="00896A4C"/>
    <w:rsid w:val="00897601"/>
    <w:rsid w:val="00897645"/>
    <w:rsid w:val="0089791E"/>
    <w:rsid w:val="00897CA7"/>
    <w:rsid w:val="008A00A5"/>
    <w:rsid w:val="008A0584"/>
    <w:rsid w:val="008A0F1B"/>
    <w:rsid w:val="008A1062"/>
    <w:rsid w:val="008A120D"/>
    <w:rsid w:val="008A17FB"/>
    <w:rsid w:val="008A1E33"/>
    <w:rsid w:val="008A200E"/>
    <w:rsid w:val="008A2306"/>
    <w:rsid w:val="008A2769"/>
    <w:rsid w:val="008A2BEB"/>
    <w:rsid w:val="008A369B"/>
    <w:rsid w:val="008A376F"/>
    <w:rsid w:val="008A39F3"/>
    <w:rsid w:val="008A3D23"/>
    <w:rsid w:val="008A59EE"/>
    <w:rsid w:val="008A5EF3"/>
    <w:rsid w:val="008A601C"/>
    <w:rsid w:val="008A6083"/>
    <w:rsid w:val="008A615B"/>
    <w:rsid w:val="008A765A"/>
    <w:rsid w:val="008A7A3C"/>
    <w:rsid w:val="008A7BB6"/>
    <w:rsid w:val="008A7DC8"/>
    <w:rsid w:val="008A7DE1"/>
    <w:rsid w:val="008A7F61"/>
    <w:rsid w:val="008B00F3"/>
    <w:rsid w:val="008B021C"/>
    <w:rsid w:val="008B05EB"/>
    <w:rsid w:val="008B0749"/>
    <w:rsid w:val="008B12C2"/>
    <w:rsid w:val="008B15C8"/>
    <w:rsid w:val="008B1669"/>
    <w:rsid w:val="008B16B8"/>
    <w:rsid w:val="008B1D7E"/>
    <w:rsid w:val="008B2232"/>
    <w:rsid w:val="008B29B1"/>
    <w:rsid w:val="008B3351"/>
    <w:rsid w:val="008B4394"/>
    <w:rsid w:val="008B4643"/>
    <w:rsid w:val="008B46E6"/>
    <w:rsid w:val="008B4C04"/>
    <w:rsid w:val="008B5620"/>
    <w:rsid w:val="008B59A3"/>
    <w:rsid w:val="008B685A"/>
    <w:rsid w:val="008B6ADE"/>
    <w:rsid w:val="008B6FB7"/>
    <w:rsid w:val="008B7A31"/>
    <w:rsid w:val="008C06D1"/>
    <w:rsid w:val="008C07C3"/>
    <w:rsid w:val="008C0E40"/>
    <w:rsid w:val="008C30D7"/>
    <w:rsid w:val="008C3ACE"/>
    <w:rsid w:val="008C3D1C"/>
    <w:rsid w:val="008C3EB2"/>
    <w:rsid w:val="008C4B13"/>
    <w:rsid w:val="008C4D3C"/>
    <w:rsid w:val="008C54B9"/>
    <w:rsid w:val="008C58D3"/>
    <w:rsid w:val="008C5C4B"/>
    <w:rsid w:val="008C5CA8"/>
    <w:rsid w:val="008C5D57"/>
    <w:rsid w:val="008C5E0E"/>
    <w:rsid w:val="008C6126"/>
    <w:rsid w:val="008C6C82"/>
    <w:rsid w:val="008C6F3C"/>
    <w:rsid w:val="008C707F"/>
    <w:rsid w:val="008C7BCD"/>
    <w:rsid w:val="008D0058"/>
    <w:rsid w:val="008D1022"/>
    <w:rsid w:val="008D12B8"/>
    <w:rsid w:val="008D12CA"/>
    <w:rsid w:val="008D1BE5"/>
    <w:rsid w:val="008D1CD3"/>
    <w:rsid w:val="008D2230"/>
    <w:rsid w:val="008D3402"/>
    <w:rsid w:val="008D3D3B"/>
    <w:rsid w:val="008D3E1F"/>
    <w:rsid w:val="008D3F49"/>
    <w:rsid w:val="008D5054"/>
    <w:rsid w:val="008D50D1"/>
    <w:rsid w:val="008D5116"/>
    <w:rsid w:val="008D5235"/>
    <w:rsid w:val="008D5A9B"/>
    <w:rsid w:val="008D5B11"/>
    <w:rsid w:val="008D5B46"/>
    <w:rsid w:val="008D5B4B"/>
    <w:rsid w:val="008D5B89"/>
    <w:rsid w:val="008D5F20"/>
    <w:rsid w:val="008D70C7"/>
    <w:rsid w:val="008D792D"/>
    <w:rsid w:val="008D7A9A"/>
    <w:rsid w:val="008E0567"/>
    <w:rsid w:val="008E05E0"/>
    <w:rsid w:val="008E0EAA"/>
    <w:rsid w:val="008E1305"/>
    <w:rsid w:val="008E225E"/>
    <w:rsid w:val="008E2736"/>
    <w:rsid w:val="008E3DB6"/>
    <w:rsid w:val="008E3FDB"/>
    <w:rsid w:val="008E409C"/>
    <w:rsid w:val="008E4255"/>
    <w:rsid w:val="008E432B"/>
    <w:rsid w:val="008E4610"/>
    <w:rsid w:val="008E4D1A"/>
    <w:rsid w:val="008E528B"/>
    <w:rsid w:val="008E627C"/>
    <w:rsid w:val="008E651B"/>
    <w:rsid w:val="008E669D"/>
    <w:rsid w:val="008E6DAC"/>
    <w:rsid w:val="008E716C"/>
    <w:rsid w:val="008E71A9"/>
    <w:rsid w:val="008E758F"/>
    <w:rsid w:val="008F0B08"/>
    <w:rsid w:val="008F0B7B"/>
    <w:rsid w:val="008F1122"/>
    <w:rsid w:val="008F2163"/>
    <w:rsid w:val="008F27D7"/>
    <w:rsid w:val="008F2BFA"/>
    <w:rsid w:val="008F3393"/>
    <w:rsid w:val="008F3BBC"/>
    <w:rsid w:val="008F3D87"/>
    <w:rsid w:val="008F44DC"/>
    <w:rsid w:val="008F470D"/>
    <w:rsid w:val="008F471A"/>
    <w:rsid w:val="008F4DAB"/>
    <w:rsid w:val="008F54B9"/>
    <w:rsid w:val="008F5786"/>
    <w:rsid w:val="008F6378"/>
    <w:rsid w:val="008F6595"/>
    <w:rsid w:val="008F6DC4"/>
    <w:rsid w:val="008F6E2A"/>
    <w:rsid w:val="008F6E4D"/>
    <w:rsid w:val="008F6F35"/>
    <w:rsid w:val="008F7B71"/>
    <w:rsid w:val="00900325"/>
    <w:rsid w:val="0090065A"/>
    <w:rsid w:val="00900A30"/>
    <w:rsid w:val="0090174A"/>
    <w:rsid w:val="00901D5F"/>
    <w:rsid w:val="00901F7A"/>
    <w:rsid w:val="00902A65"/>
    <w:rsid w:val="00903662"/>
    <w:rsid w:val="00903B61"/>
    <w:rsid w:val="00903C57"/>
    <w:rsid w:val="00903D73"/>
    <w:rsid w:val="009043D6"/>
    <w:rsid w:val="00904A47"/>
    <w:rsid w:val="00905439"/>
    <w:rsid w:val="0090581E"/>
    <w:rsid w:val="00905963"/>
    <w:rsid w:val="00905FA8"/>
    <w:rsid w:val="00906037"/>
    <w:rsid w:val="009065BD"/>
    <w:rsid w:val="009065CE"/>
    <w:rsid w:val="00907055"/>
    <w:rsid w:val="0090707F"/>
    <w:rsid w:val="00907D71"/>
    <w:rsid w:val="0091038B"/>
    <w:rsid w:val="0091083B"/>
    <w:rsid w:val="00910B7B"/>
    <w:rsid w:val="00910D98"/>
    <w:rsid w:val="00911163"/>
    <w:rsid w:val="00911B13"/>
    <w:rsid w:val="00911C1D"/>
    <w:rsid w:val="0091200E"/>
    <w:rsid w:val="0091204A"/>
    <w:rsid w:val="00912177"/>
    <w:rsid w:val="009122DF"/>
    <w:rsid w:val="00912573"/>
    <w:rsid w:val="00912754"/>
    <w:rsid w:val="00912A92"/>
    <w:rsid w:val="00912D4F"/>
    <w:rsid w:val="00912DAB"/>
    <w:rsid w:val="009134EC"/>
    <w:rsid w:val="009139B0"/>
    <w:rsid w:val="00913A69"/>
    <w:rsid w:val="00913F85"/>
    <w:rsid w:val="00914F97"/>
    <w:rsid w:val="0091537B"/>
    <w:rsid w:val="00915AB7"/>
    <w:rsid w:val="00915BE7"/>
    <w:rsid w:val="00915E6F"/>
    <w:rsid w:val="00916611"/>
    <w:rsid w:val="00916625"/>
    <w:rsid w:val="00916E95"/>
    <w:rsid w:val="009175D1"/>
    <w:rsid w:val="00920488"/>
    <w:rsid w:val="00920A6D"/>
    <w:rsid w:val="0092121B"/>
    <w:rsid w:val="00921CF5"/>
    <w:rsid w:val="00923296"/>
    <w:rsid w:val="00923FE0"/>
    <w:rsid w:val="00924CCD"/>
    <w:rsid w:val="00925029"/>
    <w:rsid w:val="009251CF"/>
    <w:rsid w:val="00925BC5"/>
    <w:rsid w:val="00925D59"/>
    <w:rsid w:val="00925DEE"/>
    <w:rsid w:val="00926020"/>
    <w:rsid w:val="0092785D"/>
    <w:rsid w:val="00927870"/>
    <w:rsid w:val="00927C93"/>
    <w:rsid w:val="00927FE1"/>
    <w:rsid w:val="009302DA"/>
    <w:rsid w:val="009303B3"/>
    <w:rsid w:val="0093051D"/>
    <w:rsid w:val="00930677"/>
    <w:rsid w:val="00931410"/>
    <w:rsid w:val="00931F74"/>
    <w:rsid w:val="0093206A"/>
    <w:rsid w:val="009331AD"/>
    <w:rsid w:val="0093326F"/>
    <w:rsid w:val="009334C7"/>
    <w:rsid w:val="009336E7"/>
    <w:rsid w:val="00933775"/>
    <w:rsid w:val="00933FDF"/>
    <w:rsid w:val="0093456B"/>
    <w:rsid w:val="009347FE"/>
    <w:rsid w:val="00934DC8"/>
    <w:rsid w:val="00935058"/>
    <w:rsid w:val="0093582E"/>
    <w:rsid w:val="00935A67"/>
    <w:rsid w:val="00935AC3"/>
    <w:rsid w:val="00936341"/>
    <w:rsid w:val="00937D6B"/>
    <w:rsid w:val="00937F65"/>
    <w:rsid w:val="00940458"/>
    <w:rsid w:val="009405F9"/>
    <w:rsid w:val="0094076C"/>
    <w:rsid w:val="00942905"/>
    <w:rsid w:val="00942D98"/>
    <w:rsid w:val="00942EA5"/>
    <w:rsid w:val="00943222"/>
    <w:rsid w:val="009437C4"/>
    <w:rsid w:val="00943F57"/>
    <w:rsid w:val="00944700"/>
    <w:rsid w:val="00944A0A"/>
    <w:rsid w:val="00944A67"/>
    <w:rsid w:val="00944CD8"/>
    <w:rsid w:val="009458F1"/>
    <w:rsid w:val="00945D7A"/>
    <w:rsid w:val="00946186"/>
    <w:rsid w:val="009476D7"/>
    <w:rsid w:val="009478E0"/>
    <w:rsid w:val="00947926"/>
    <w:rsid w:val="00947E25"/>
    <w:rsid w:val="00947E29"/>
    <w:rsid w:val="0095110C"/>
    <w:rsid w:val="0095133C"/>
    <w:rsid w:val="0095261C"/>
    <w:rsid w:val="00952776"/>
    <w:rsid w:val="009527C7"/>
    <w:rsid w:val="00952E53"/>
    <w:rsid w:val="00953074"/>
    <w:rsid w:val="00953126"/>
    <w:rsid w:val="00953295"/>
    <w:rsid w:val="00953C4C"/>
    <w:rsid w:val="00953D9E"/>
    <w:rsid w:val="00954C93"/>
    <w:rsid w:val="009555E8"/>
    <w:rsid w:val="009556F2"/>
    <w:rsid w:val="009560ED"/>
    <w:rsid w:val="009565E7"/>
    <w:rsid w:val="009570DA"/>
    <w:rsid w:val="00957C09"/>
    <w:rsid w:val="00960288"/>
    <w:rsid w:val="009603C0"/>
    <w:rsid w:val="0096080E"/>
    <w:rsid w:val="00960F94"/>
    <w:rsid w:val="009616E1"/>
    <w:rsid w:val="0096188C"/>
    <w:rsid w:val="00961A45"/>
    <w:rsid w:val="00961AA6"/>
    <w:rsid w:val="00961ACF"/>
    <w:rsid w:val="00961D9B"/>
    <w:rsid w:val="00962747"/>
    <w:rsid w:val="009634C0"/>
    <w:rsid w:val="00963600"/>
    <w:rsid w:val="0096367E"/>
    <w:rsid w:val="00964DE9"/>
    <w:rsid w:val="0096567C"/>
    <w:rsid w:val="009658BB"/>
    <w:rsid w:val="00965A20"/>
    <w:rsid w:val="00966678"/>
    <w:rsid w:val="009666B4"/>
    <w:rsid w:val="00967131"/>
    <w:rsid w:val="00967804"/>
    <w:rsid w:val="00967D43"/>
    <w:rsid w:val="00967E72"/>
    <w:rsid w:val="00970455"/>
    <w:rsid w:val="00970647"/>
    <w:rsid w:val="0097144F"/>
    <w:rsid w:val="0097323D"/>
    <w:rsid w:val="009742AF"/>
    <w:rsid w:val="00974515"/>
    <w:rsid w:val="00974801"/>
    <w:rsid w:val="009748F6"/>
    <w:rsid w:val="00974C5C"/>
    <w:rsid w:val="0097561C"/>
    <w:rsid w:val="0097574A"/>
    <w:rsid w:val="00975A0F"/>
    <w:rsid w:val="00975DDC"/>
    <w:rsid w:val="00975DF7"/>
    <w:rsid w:val="0097615D"/>
    <w:rsid w:val="00976AFD"/>
    <w:rsid w:val="00976D5D"/>
    <w:rsid w:val="009771BB"/>
    <w:rsid w:val="009773DE"/>
    <w:rsid w:val="0097785E"/>
    <w:rsid w:val="009778A2"/>
    <w:rsid w:val="00977D02"/>
    <w:rsid w:val="00980311"/>
    <w:rsid w:val="00980C5D"/>
    <w:rsid w:val="00980D69"/>
    <w:rsid w:val="00980FB3"/>
    <w:rsid w:val="0098114B"/>
    <w:rsid w:val="00981932"/>
    <w:rsid w:val="009819B1"/>
    <w:rsid w:val="00981B21"/>
    <w:rsid w:val="00981B7F"/>
    <w:rsid w:val="00981CA3"/>
    <w:rsid w:val="00981FE8"/>
    <w:rsid w:val="00982183"/>
    <w:rsid w:val="00982491"/>
    <w:rsid w:val="00982AE5"/>
    <w:rsid w:val="00983109"/>
    <w:rsid w:val="009831C6"/>
    <w:rsid w:val="00983A9C"/>
    <w:rsid w:val="00984B07"/>
    <w:rsid w:val="00985363"/>
    <w:rsid w:val="009862C3"/>
    <w:rsid w:val="009864DC"/>
    <w:rsid w:val="00986CAD"/>
    <w:rsid w:val="0098736B"/>
    <w:rsid w:val="009874BD"/>
    <w:rsid w:val="00987972"/>
    <w:rsid w:val="00987B44"/>
    <w:rsid w:val="0099051A"/>
    <w:rsid w:val="00990A82"/>
    <w:rsid w:val="00990C00"/>
    <w:rsid w:val="00990D0D"/>
    <w:rsid w:val="009917AF"/>
    <w:rsid w:val="00991C54"/>
    <w:rsid w:val="00991F2E"/>
    <w:rsid w:val="00992699"/>
    <w:rsid w:val="0099296E"/>
    <w:rsid w:val="009938FF"/>
    <w:rsid w:val="0099393F"/>
    <w:rsid w:val="00993961"/>
    <w:rsid w:val="009954CE"/>
    <w:rsid w:val="009954F9"/>
    <w:rsid w:val="00995797"/>
    <w:rsid w:val="00995C26"/>
    <w:rsid w:val="00996C69"/>
    <w:rsid w:val="00997615"/>
    <w:rsid w:val="009A083B"/>
    <w:rsid w:val="009A1062"/>
    <w:rsid w:val="009A189B"/>
    <w:rsid w:val="009A1FA7"/>
    <w:rsid w:val="009A20EB"/>
    <w:rsid w:val="009A2475"/>
    <w:rsid w:val="009A2690"/>
    <w:rsid w:val="009A28A7"/>
    <w:rsid w:val="009A2AE6"/>
    <w:rsid w:val="009A2D2E"/>
    <w:rsid w:val="009A3035"/>
    <w:rsid w:val="009A3128"/>
    <w:rsid w:val="009A43CC"/>
    <w:rsid w:val="009A48AC"/>
    <w:rsid w:val="009A4C1A"/>
    <w:rsid w:val="009A5656"/>
    <w:rsid w:val="009A5E19"/>
    <w:rsid w:val="009A6014"/>
    <w:rsid w:val="009A63D8"/>
    <w:rsid w:val="009A7416"/>
    <w:rsid w:val="009A7434"/>
    <w:rsid w:val="009A75C8"/>
    <w:rsid w:val="009A7AB6"/>
    <w:rsid w:val="009A7C32"/>
    <w:rsid w:val="009B05C5"/>
    <w:rsid w:val="009B0678"/>
    <w:rsid w:val="009B0E50"/>
    <w:rsid w:val="009B121B"/>
    <w:rsid w:val="009B1425"/>
    <w:rsid w:val="009B1E24"/>
    <w:rsid w:val="009B266D"/>
    <w:rsid w:val="009B3609"/>
    <w:rsid w:val="009B38A1"/>
    <w:rsid w:val="009B38F1"/>
    <w:rsid w:val="009B3AC0"/>
    <w:rsid w:val="009B42C3"/>
    <w:rsid w:val="009B44E7"/>
    <w:rsid w:val="009B490E"/>
    <w:rsid w:val="009B492C"/>
    <w:rsid w:val="009B4DC3"/>
    <w:rsid w:val="009B5433"/>
    <w:rsid w:val="009B584D"/>
    <w:rsid w:val="009B5943"/>
    <w:rsid w:val="009B5D51"/>
    <w:rsid w:val="009B62EF"/>
    <w:rsid w:val="009B6379"/>
    <w:rsid w:val="009B6398"/>
    <w:rsid w:val="009B64CF"/>
    <w:rsid w:val="009B69D2"/>
    <w:rsid w:val="009B6EE6"/>
    <w:rsid w:val="009B707D"/>
    <w:rsid w:val="009B7970"/>
    <w:rsid w:val="009B7A0B"/>
    <w:rsid w:val="009B7BF2"/>
    <w:rsid w:val="009C1178"/>
    <w:rsid w:val="009C1237"/>
    <w:rsid w:val="009C182C"/>
    <w:rsid w:val="009C1917"/>
    <w:rsid w:val="009C1AA7"/>
    <w:rsid w:val="009C2290"/>
    <w:rsid w:val="009C2776"/>
    <w:rsid w:val="009C3008"/>
    <w:rsid w:val="009C33F8"/>
    <w:rsid w:val="009C4935"/>
    <w:rsid w:val="009C506A"/>
    <w:rsid w:val="009C57D1"/>
    <w:rsid w:val="009C5B46"/>
    <w:rsid w:val="009C6188"/>
    <w:rsid w:val="009C76A8"/>
    <w:rsid w:val="009C772A"/>
    <w:rsid w:val="009C78DD"/>
    <w:rsid w:val="009C7962"/>
    <w:rsid w:val="009C7D6D"/>
    <w:rsid w:val="009C7FD6"/>
    <w:rsid w:val="009D007E"/>
    <w:rsid w:val="009D0C10"/>
    <w:rsid w:val="009D0D0F"/>
    <w:rsid w:val="009D1313"/>
    <w:rsid w:val="009D14DC"/>
    <w:rsid w:val="009D238C"/>
    <w:rsid w:val="009D2A6E"/>
    <w:rsid w:val="009D2C39"/>
    <w:rsid w:val="009D30E0"/>
    <w:rsid w:val="009D44AA"/>
    <w:rsid w:val="009D49E0"/>
    <w:rsid w:val="009D4E2F"/>
    <w:rsid w:val="009D63BD"/>
    <w:rsid w:val="009D6403"/>
    <w:rsid w:val="009D6A90"/>
    <w:rsid w:val="009D6BBA"/>
    <w:rsid w:val="009D6BFB"/>
    <w:rsid w:val="009D7087"/>
    <w:rsid w:val="009D7859"/>
    <w:rsid w:val="009E013C"/>
    <w:rsid w:val="009E0311"/>
    <w:rsid w:val="009E085C"/>
    <w:rsid w:val="009E0B93"/>
    <w:rsid w:val="009E0DE7"/>
    <w:rsid w:val="009E13BF"/>
    <w:rsid w:val="009E1CC2"/>
    <w:rsid w:val="009E2350"/>
    <w:rsid w:val="009E2951"/>
    <w:rsid w:val="009E3036"/>
    <w:rsid w:val="009E3373"/>
    <w:rsid w:val="009E47D9"/>
    <w:rsid w:val="009E4968"/>
    <w:rsid w:val="009E4BA0"/>
    <w:rsid w:val="009E5A7B"/>
    <w:rsid w:val="009E5E6C"/>
    <w:rsid w:val="009E5FBF"/>
    <w:rsid w:val="009E6304"/>
    <w:rsid w:val="009E6540"/>
    <w:rsid w:val="009E6572"/>
    <w:rsid w:val="009E6887"/>
    <w:rsid w:val="009E69EB"/>
    <w:rsid w:val="009E7082"/>
    <w:rsid w:val="009E744F"/>
    <w:rsid w:val="009E76D2"/>
    <w:rsid w:val="009E7813"/>
    <w:rsid w:val="009E7922"/>
    <w:rsid w:val="009E79A4"/>
    <w:rsid w:val="009F019C"/>
    <w:rsid w:val="009F0799"/>
    <w:rsid w:val="009F086B"/>
    <w:rsid w:val="009F0AA6"/>
    <w:rsid w:val="009F2466"/>
    <w:rsid w:val="009F27C5"/>
    <w:rsid w:val="009F2AEB"/>
    <w:rsid w:val="009F2C0E"/>
    <w:rsid w:val="009F2DF4"/>
    <w:rsid w:val="009F2FA5"/>
    <w:rsid w:val="009F4294"/>
    <w:rsid w:val="009F477C"/>
    <w:rsid w:val="009F490A"/>
    <w:rsid w:val="009F53A5"/>
    <w:rsid w:val="009F5911"/>
    <w:rsid w:val="009F5A02"/>
    <w:rsid w:val="009F5B84"/>
    <w:rsid w:val="009F5D84"/>
    <w:rsid w:val="009F65BD"/>
    <w:rsid w:val="009F663C"/>
    <w:rsid w:val="009F6D4A"/>
    <w:rsid w:val="009F702B"/>
    <w:rsid w:val="009F76C1"/>
    <w:rsid w:val="009F7CFC"/>
    <w:rsid w:val="00A00C90"/>
    <w:rsid w:val="00A00DDD"/>
    <w:rsid w:val="00A00F7C"/>
    <w:rsid w:val="00A0101F"/>
    <w:rsid w:val="00A0183A"/>
    <w:rsid w:val="00A02500"/>
    <w:rsid w:val="00A02756"/>
    <w:rsid w:val="00A03179"/>
    <w:rsid w:val="00A031C7"/>
    <w:rsid w:val="00A031E9"/>
    <w:rsid w:val="00A03AB1"/>
    <w:rsid w:val="00A03DE8"/>
    <w:rsid w:val="00A042FA"/>
    <w:rsid w:val="00A045F4"/>
    <w:rsid w:val="00A046EE"/>
    <w:rsid w:val="00A04C97"/>
    <w:rsid w:val="00A0527D"/>
    <w:rsid w:val="00A0556F"/>
    <w:rsid w:val="00A05891"/>
    <w:rsid w:val="00A05A81"/>
    <w:rsid w:val="00A05BA9"/>
    <w:rsid w:val="00A05EBF"/>
    <w:rsid w:val="00A065E0"/>
    <w:rsid w:val="00A06658"/>
    <w:rsid w:val="00A073B0"/>
    <w:rsid w:val="00A07434"/>
    <w:rsid w:val="00A074C3"/>
    <w:rsid w:val="00A07528"/>
    <w:rsid w:val="00A07932"/>
    <w:rsid w:val="00A07C5C"/>
    <w:rsid w:val="00A07CA1"/>
    <w:rsid w:val="00A07CD1"/>
    <w:rsid w:val="00A1011F"/>
    <w:rsid w:val="00A103D7"/>
    <w:rsid w:val="00A1052D"/>
    <w:rsid w:val="00A10767"/>
    <w:rsid w:val="00A10B13"/>
    <w:rsid w:val="00A11067"/>
    <w:rsid w:val="00A115F4"/>
    <w:rsid w:val="00A11B75"/>
    <w:rsid w:val="00A126F4"/>
    <w:rsid w:val="00A1352E"/>
    <w:rsid w:val="00A13F4A"/>
    <w:rsid w:val="00A14117"/>
    <w:rsid w:val="00A14448"/>
    <w:rsid w:val="00A1445F"/>
    <w:rsid w:val="00A14668"/>
    <w:rsid w:val="00A14E08"/>
    <w:rsid w:val="00A15237"/>
    <w:rsid w:val="00A157D8"/>
    <w:rsid w:val="00A15C04"/>
    <w:rsid w:val="00A15C36"/>
    <w:rsid w:val="00A15FEA"/>
    <w:rsid w:val="00A16314"/>
    <w:rsid w:val="00A16ACD"/>
    <w:rsid w:val="00A17006"/>
    <w:rsid w:val="00A17306"/>
    <w:rsid w:val="00A17393"/>
    <w:rsid w:val="00A1777E"/>
    <w:rsid w:val="00A207FD"/>
    <w:rsid w:val="00A20CA5"/>
    <w:rsid w:val="00A20D7C"/>
    <w:rsid w:val="00A20D8C"/>
    <w:rsid w:val="00A20F3A"/>
    <w:rsid w:val="00A20F90"/>
    <w:rsid w:val="00A2127A"/>
    <w:rsid w:val="00A229A2"/>
    <w:rsid w:val="00A22FAF"/>
    <w:rsid w:val="00A235F0"/>
    <w:rsid w:val="00A23889"/>
    <w:rsid w:val="00A23904"/>
    <w:rsid w:val="00A23A12"/>
    <w:rsid w:val="00A23BE0"/>
    <w:rsid w:val="00A23FAB"/>
    <w:rsid w:val="00A2439D"/>
    <w:rsid w:val="00A245D0"/>
    <w:rsid w:val="00A25313"/>
    <w:rsid w:val="00A254C5"/>
    <w:rsid w:val="00A25AED"/>
    <w:rsid w:val="00A25F57"/>
    <w:rsid w:val="00A267DA"/>
    <w:rsid w:val="00A26D92"/>
    <w:rsid w:val="00A2764B"/>
    <w:rsid w:val="00A276B6"/>
    <w:rsid w:val="00A27770"/>
    <w:rsid w:val="00A27B2A"/>
    <w:rsid w:val="00A27CA9"/>
    <w:rsid w:val="00A30404"/>
    <w:rsid w:val="00A30790"/>
    <w:rsid w:val="00A308C7"/>
    <w:rsid w:val="00A31525"/>
    <w:rsid w:val="00A31635"/>
    <w:rsid w:val="00A31DA5"/>
    <w:rsid w:val="00A3245D"/>
    <w:rsid w:val="00A32B51"/>
    <w:rsid w:val="00A33261"/>
    <w:rsid w:val="00A3396E"/>
    <w:rsid w:val="00A339D5"/>
    <w:rsid w:val="00A33C9F"/>
    <w:rsid w:val="00A3428C"/>
    <w:rsid w:val="00A344C1"/>
    <w:rsid w:val="00A347B1"/>
    <w:rsid w:val="00A34B2E"/>
    <w:rsid w:val="00A34BC3"/>
    <w:rsid w:val="00A3532F"/>
    <w:rsid w:val="00A353E8"/>
    <w:rsid w:val="00A3625A"/>
    <w:rsid w:val="00A37415"/>
    <w:rsid w:val="00A37DB5"/>
    <w:rsid w:val="00A40033"/>
    <w:rsid w:val="00A40273"/>
    <w:rsid w:val="00A421A5"/>
    <w:rsid w:val="00A42B92"/>
    <w:rsid w:val="00A42F3F"/>
    <w:rsid w:val="00A43CEC"/>
    <w:rsid w:val="00A43EE9"/>
    <w:rsid w:val="00A44751"/>
    <w:rsid w:val="00A44F10"/>
    <w:rsid w:val="00A4553E"/>
    <w:rsid w:val="00A4585B"/>
    <w:rsid w:val="00A460F4"/>
    <w:rsid w:val="00A462ED"/>
    <w:rsid w:val="00A46312"/>
    <w:rsid w:val="00A463AB"/>
    <w:rsid w:val="00A46453"/>
    <w:rsid w:val="00A4693A"/>
    <w:rsid w:val="00A4695C"/>
    <w:rsid w:val="00A471EE"/>
    <w:rsid w:val="00A47742"/>
    <w:rsid w:val="00A47EE7"/>
    <w:rsid w:val="00A50FD2"/>
    <w:rsid w:val="00A52035"/>
    <w:rsid w:val="00A5239B"/>
    <w:rsid w:val="00A5273C"/>
    <w:rsid w:val="00A527C7"/>
    <w:rsid w:val="00A52D78"/>
    <w:rsid w:val="00A53FF4"/>
    <w:rsid w:val="00A5434C"/>
    <w:rsid w:val="00A54580"/>
    <w:rsid w:val="00A54853"/>
    <w:rsid w:val="00A548F0"/>
    <w:rsid w:val="00A54E7B"/>
    <w:rsid w:val="00A54F74"/>
    <w:rsid w:val="00A55DE5"/>
    <w:rsid w:val="00A565D5"/>
    <w:rsid w:val="00A56F63"/>
    <w:rsid w:val="00A575A7"/>
    <w:rsid w:val="00A57B64"/>
    <w:rsid w:val="00A60CEA"/>
    <w:rsid w:val="00A60E17"/>
    <w:rsid w:val="00A61295"/>
    <w:rsid w:val="00A61522"/>
    <w:rsid w:val="00A62968"/>
    <w:rsid w:val="00A6298E"/>
    <w:rsid w:val="00A62CC9"/>
    <w:rsid w:val="00A63876"/>
    <w:rsid w:val="00A6388B"/>
    <w:rsid w:val="00A64D8D"/>
    <w:rsid w:val="00A65466"/>
    <w:rsid w:val="00A655BB"/>
    <w:rsid w:val="00A657CF"/>
    <w:rsid w:val="00A65D23"/>
    <w:rsid w:val="00A66A96"/>
    <w:rsid w:val="00A66D15"/>
    <w:rsid w:val="00A674B6"/>
    <w:rsid w:val="00A676C1"/>
    <w:rsid w:val="00A67F60"/>
    <w:rsid w:val="00A70D0D"/>
    <w:rsid w:val="00A70F67"/>
    <w:rsid w:val="00A70FB6"/>
    <w:rsid w:val="00A71C90"/>
    <w:rsid w:val="00A72B84"/>
    <w:rsid w:val="00A731C0"/>
    <w:rsid w:val="00A738FA"/>
    <w:rsid w:val="00A73907"/>
    <w:rsid w:val="00A73C1D"/>
    <w:rsid w:val="00A74012"/>
    <w:rsid w:val="00A741C6"/>
    <w:rsid w:val="00A741FC"/>
    <w:rsid w:val="00A74B4A"/>
    <w:rsid w:val="00A751AE"/>
    <w:rsid w:val="00A7540C"/>
    <w:rsid w:val="00A75C67"/>
    <w:rsid w:val="00A76D03"/>
    <w:rsid w:val="00A77047"/>
    <w:rsid w:val="00A772E5"/>
    <w:rsid w:val="00A77C95"/>
    <w:rsid w:val="00A77F11"/>
    <w:rsid w:val="00A80171"/>
    <w:rsid w:val="00A808D7"/>
    <w:rsid w:val="00A80E2E"/>
    <w:rsid w:val="00A80EFF"/>
    <w:rsid w:val="00A81189"/>
    <w:rsid w:val="00A811F2"/>
    <w:rsid w:val="00A81565"/>
    <w:rsid w:val="00A8162E"/>
    <w:rsid w:val="00A82133"/>
    <w:rsid w:val="00A8220F"/>
    <w:rsid w:val="00A8243C"/>
    <w:rsid w:val="00A82898"/>
    <w:rsid w:val="00A8291A"/>
    <w:rsid w:val="00A82FBD"/>
    <w:rsid w:val="00A83707"/>
    <w:rsid w:val="00A83D85"/>
    <w:rsid w:val="00A840F7"/>
    <w:rsid w:val="00A846F1"/>
    <w:rsid w:val="00A85362"/>
    <w:rsid w:val="00A859CC"/>
    <w:rsid w:val="00A85E9F"/>
    <w:rsid w:val="00A8617B"/>
    <w:rsid w:val="00A86250"/>
    <w:rsid w:val="00A8640C"/>
    <w:rsid w:val="00A867F6"/>
    <w:rsid w:val="00A869D0"/>
    <w:rsid w:val="00A874DA"/>
    <w:rsid w:val="00A90234"/>
    <w:rsid w:val="00A90363"/>
    <w:rsid w:val="00A9048A"/>
    <w:rsid w:val="00A91304"/>
    <w:rsid w:val="00A9213E"/>
    <w:rsid w:val="00A9217C"/>
    <w:rsid w:val="00A92212"/>
    <w:rsid w:val="00A92583"/>
    <w:rsid w:val="00A92690"/>
    <w:rsid w:val="00A92705"/>
    <w:rsid w:val="00A92D77"/>
    <w:rsid w:val="00A93CD2"/>
    <w:rsid w:val="00A93F4C"/>
    <w:rsid w:val="00A94AAD"/>
    <w:rsid w:val="00A950A0"/>
    <w:rsid w:val="00A950CB"/>
    <w:rsid w:val="00A95E09"/>
    <w:rsid w:val="00A95EF7"/>
    <w:rsid w:val="00A96624"/>
    <w:rsid w:val="00A96DA0"/>
    <w:rsid w:val="00AA03F3"/>
    <w:rsid w:val="00AA0854"/>
    <w:rsid w:val="00AA0D4C"/>
    <w:rsid w:val="00AA0DC1"/>
    <w:rsid w:val="00AA0EF1"/>
    <w:rsid w:val="00AA0FE4"/>
    <w:rsid w:val="00AA187F"/>
    <w:rsid w:val="00AA1CD4"/>
    <w:rsid w:val="00AA1F66"/>
    <w:rsid w:val="00AA273F"/>
    <w:rsid w:val="00AA35DF"/>
    <w:rsid w:val="00AA3D9D"/>
    <w:rsid w:val="00AA501F"/>
    <w:rsid w:val="00AA5658"/>
    <w:rsid w:val="00AA591E"/>
    <w:rsid w:val="00AA5CCB"/>
    <w:rsid w:val="00AA5E07"/>
    <w:rsid w:val="00AA667B"/>
    <w:rsid w:val="00AA6902"/>
    <w:rsid w:val="00AA6A66"/>
    <w:rsid w:val="00AA6B47"/>
    <w:rsid w:val="00AA6F4A"/>
    <w:rsid w:val="00AA6FB3"/>
    <w:rsid w:val="00AA7317"/>
    <w:rsid w:val="00AA7D36"/>
    <w:rsid w:val="00AA7F2F"/>
    <w:rsid w:val="00AB0335"/>
    <w:rsid w:val="00AB06CC"/>
    <w:rsid w:val="00AB0A4E"/>
    <w:rsid w:val="00AB0B7A"/>
    <w:rsid w:val="00AB1B5E"/>
    <w:rsid w:val="00AB2327"/>
    <w:rsid w:val="00AB2441"/>
    <w:rsid w:val="00AB2865"/>
    <w:rsid w:val="00AB2B26"/>
    <w:rsid w:val="00AB2EEE"/>
    <w:rsid w:val="00AB37AA"/>
    <w:rsid w:val="00AB38A7"/>
    <w:rsid w:val="00AB3D22"/>
    <w:rsid w:val="00AB3EEF"/>
    <w:rsid w:val="00AB4B26"/>
    <w:rsid w:val="00AB51E6"/>
    <w:rsid w:val="00AB5347"/>
    <w:rsid w:val="00AB5413"/>
    <w:rsid w:val="00AB5F8C"/>
    <w:rsid w:val="00AB686A"/>
    <w:rsid w:val="00AB6895"/>
    <w:rsid w:val="00AB6918"/>
    <w:rsid w:val="00AB7334"/>
    <w:rsid w:val="00AB7BDC"/>
    <w:rsid w:val="00AB7BEE"/>
    <w:rsid w:val="00AB7C28"/>
    <w:rsid w:val="00AB7C4A"/>
    <w:rsid w:val="00AB7D8C"/>
    <w:rsid w:val="00AB7DED"/>
    <w:rsid w:val="00AC00A6"/>
    <w:rsid w:val="00AC020A"/>
    <w:rsid w:val="00AC0363"/>
    <w:rsid w:val="00AC0C84"/>
    <w:rsid w:val="00AC0F5F"/>
    <w:rsid w:val="00AC1C02"/>
    <w:rsid w:val="00AC1C2D"/>
    <w:rsid w:val="00AC1C44"/>
    <w:rsid w:val="00AC2981"/>
    <w:rsid w:val="00AC2CFD"/>
    <w:rsid w:val="00AC33D8"/>
    <w:rsid w:val="00AC3B7B"/>
    <w:rsid w:val="00AC4823"/>
    <w:rsid w:val="00AC4DC2"/>
    <w:rsid w:val="00AC51C5"/>
    <w:rsid w:val="00AC5364"/>
    <w:rsid w:val="00AC56CB"/>
    <w:rsid w:val="00AC580C"/>
    <w:rsid w:val="00AC5CFB"/>
    <w:rsid w:val="00AC6303"/>
    <w:rsid w:val="00AC67E6"/>
    <w:rsid w:val="00AC6BFA"/>
    <w:rsid w:val="00AC6D50"/>
    <w:rsid w:val="00AC6F7E"/>
    <w:rsid w:val="00AC6FD1"/>
    <w:rsid w:val="00AC770D"/>
    <w:rsid w:val="00AC77C1"/>
    <w:rsid w:val="00AC7823"/>
    <w:rsid w:val="00AC7B5B"/>
    <w:rsid w:val="00AC7B72"/>
    <w:rsid w:val="00AC7D9A"/>
    <w:rsid w:val="00AD040B"/>
    <w:rsid w:val="00AD0879"/>
    <w:rsid w:val="00AD1A74"/>
    <w:rsid w:val="00AD23C3"/>
    <w:rsid w:val="00AD31D7"/>
    <w:rsid w:val="00AD384C"/>
    <w:rsid w:val="00AD3C8A"/>
    <w:rsid w:val="00AD3F66"/>
    <w:rsid w:val="00AD4331"/>
    <w:rsid w:val="00AD4670"/>
    <w:rsid w:val="00AD47B7"/>
    <w:rsid w:val="00AD4C41"/>
    <w:rsid w:val="00AD564E"/>
    <w:rsid w:val="00AD56E0"/>
    <w:rsid w:val="00AD629D"/>
    <w:rsid w:val="00AD62F1"/>
    <w:rsid w:val="00AD6A5A"/>
    <w:rsid w:val="00AD6BD0"/>
    <w:rsid w:val="00AD6C16"/>
    <w:rsid w:val="00AD6C35"/>
    <w:rsid w:val="00AD6E4E"/>
    <w:rsid w:val="00AD75D9"/>
    <w:rsid w:val="00AD776C"/>
    <w:rsid w:val="00AE018D"/>
    <w:rsid w:val="00AE0237"/>
    <w:rsid w:val="00AE059A"/>
    <w:rsid w:val="00AE0609"/>
    <w:rsid w:val="00AE0E87"/>
    <w:rsid w:val="00AE111A"/>
    <w:rsid w:val="00AE1723"/>
    <w:rsid w:val="00AE1BC7"/>
    <w:rsid w:val="00AE2006"/>
    <w:rsid w:val="00AE2032"/>
    <w:rsid w:val="00AE2338"/>
    <w:rsid w:val="00AE26B1"/>
    <w:rsid w:val="00AE2B18"/>
    <w:rsid w:val="00AE3061"/>
    <w:rsid w:val="00AE565E"/>
    <w:rsid w:val="00AE568D"/>
    <w:rsid w:val="00AE5897"/>
    <w:rsid w:val="00AE6217"/>
    <w:rsid w:val="00AE6AED"/>
    <w:rsid w:val="00AE6ED4"/>
    <w:rsid w:val="00AE70CE"/>
    <w:rsid w:val="00AE7738"/>
    <w:rsid w:val="00AE7FDC"/>
    <w:rsid w:val="00AF0282"/>
    <w:rsid w:val="00AF051B"/>
    <w:rsid w:val="00AF05D2"/>
    <w:rsid w:val="00AF07F2"/>
    <w:rsid w:val="00AF0F92"/>
    <w:rsid w:val="00AF16BB"/>
    <w:rsid w:val="00AF195B"/>
    <w:rsid w:val="00AF1B2B"/>
    <w:rsid w:val="00AF285E"/>
    <w:rsid w:val="00AF2A7D"/>
    <w:rsid w:val="00AF2ADA"/>
    <w:rsid w:val="00AF3A19"/>
    <w:rsid w:val="00AF3AE3"/>
    <w:rsid w:val="00AF3BBF"/>
    <w:rsid w:val="00AF4108"/>
    <w:rsid w:val="00AF45E7"/>
    <w:rsid w:val="00AF4B23"/>
    <w:rsid w:val="00AF4D6B"/>
    <w:rsid w:val="00AF4DD9"/>
    <w:rsid w:val="00AF506C"/>
    <w:rsid w:val="00AF5294"/>
    <w:rsid w:val="00AF5497"/>
    <w:rsid w:val="00AF5AB8"/>
    <w:rsid w:val="00AF623B"/>
    <w:rsid w:val="00AF6625"/>
    <w:rsid w:val="00AF6F23"/>
    <w:rsid w:val="00AF7349"/>
    <w:rsid w:val="00AF7D51"/>
    <w:rsid w:val="00B0049A"/>
    <w:rsid w:val="00B0058C"/>
    <w:rsid w:val="00B00EAF"/>
    <w:rsid w:val="00B025B4"/>
    <w:rsid w:val="00B02E92"/>
    <w:rsid w:val="00B03730"/>
    <w:rsid w:val="00B03740"/>
    <w:rsid w:val="00B0390C"/>
    <w:rsid w:val="00B03A61"/>
    <w:rsid w:val="00B03C56"/>
    <w:rsid w:val="00B041C5"/>
    <w:rsid w:val="00B04324"/>
    <w:rsid w:val="00B04A55"/>
    <w:rsid w:val="00B051E2"/>
    <w:rsid w:val="00B052D6"/>
    <w:rsid w:val="00B0623F"/>
    <w:rsid w:val="00B063BC"/>
    <w:rsid w:val="00B06939"/>
    <w:rsid w:val="00B06BD1"/>
    <w:rsid w:val="00B07492"/>
    <w:rsid w:val="00B07C74"/>
    <w:rsid w:val="00B101BA"/>
    <w:rsid w:val="00B10410"/>
    <w:rsid w:val="00B10D75"/>
    <w:rsid w:val="00B114D6"/>
    <w:rsid w:val="00B11C70"/>
    <w:rsid w:val="00B12377"/>
    <w:rsid w:val="00B12720"/>
    <w:rsid w:val="00B12A6C"/>
    <w:rsid w:val="00B132D7"/>
    <w:rsid w:val="00B13330"/>
    <w:rsid w:val="00B13682"/>
    <w:rsid w:val="00B1475E"/>
    <w:rsid w:val="00B14AF7"/>
    <w:rsid w:val="00B150FF"/>
    <w:rsid w:val="00B151B1"/>
    <w:rsid w:val="00B151F5"/>
    <w:rsid w:val="00B15A82"/>
    <w:rsid w:val="00B16531"/>
    <w:rsid w:val="00B17329"/>
    <w:rsid w:val="00B17AA8"/>
    <w:rsid w:val="00B17DA5"/>
    <w:rsid w:val="00B203B3"/>
    <w:rsid w:val="00B204D9"/>
    <w:rsid w:val="00B213DA"/>
    <w:rsid w:val="00B2263B"/>
    <w:rsid w:val="00B228AF"/>
    <w:rsid w:val="00B229E9"/>
    <w:rsid w:val="00B2367E"/>
    <w:rsid w:val="00B23C9C"/>
    <w:rsid w:val="00B24155"/>
    <w:rsid w:val="00B249F7"/>
    <w:rsid w:val="00B24BAE"/>
    <w:rsid w:val="00B2556D"/>
    <w:rsid w:val="00B25572"/>
    <w:rsid w:val="00B255A3"/>
    <w:rsid w:val="00B25E12"/>
    <w:rsid w:val="00B26440"/>
    <w:rsid w:val="00B26452"/>
    <w:rsid w:val="00B269D8"/>
    <w:rsid w:val="00B26D6D"/>
    <w:rsid w:val="00B27153"/>
    <w:rsid w:val="00B272D0"/>
    <w:rsid w:val="00B275E0"/>
    <w:rsid w:val="00B27636"/>
    <w:rsid w:val="00B27C8F"/>
    <w:rsid w:val="00B3011D"/>
    <w:rsid w:val="00B30A27"/>
    <w:rsid w:val="00B3159F"/>
    <w:rsid w:val="00B31697"/>
    <w:rsid w:val="00B31780"/>
    <w:rsid w:val="00B31ECA"/>
    <w:rsid w:val="00B320E2"/>
    <w:rsid w:val="00B3220D"/>
    <w:rsid w:val="00B33067"/>
    <w:rsid w:val="00B33CE8"/>
    <w:rsid w:val="00B33E9A"/>
    <w:rsid w:val="00B34239"/>
    <w:rsid w:val="00B342B8"/>
    <w:rsid w:val="00B34621"/>
    <w:rsid w:val="00B34891"/>
    <w:rsid w:val="00B34EAC"/>
    <w:rsid w:val="00B350D6"/>
    <w:rsid w:val="00B352D7"/>
    <w:rsid w:val="00B35569"/>
    <w:rsid w:val="00B36661"/>
    <w:rsid w:val="00B36C5B"/>
    <w:rsid w:val="00B37254"/>
    <w:rsid w:val="00B4088D"/>
    <w:rsid w:val="00B40DF3"/>
    <w:rsid w:val="00B40E61"/>
    <w:rsid w:val="00B42314"/>
    <w:rsid w:val="00B42496"/>
    <w:rsid w:val="00B42713"/>
    <w:rsid w:val="00B427B4"/>
    <w:rsid w:val="00B42FD4"/>
    <w:rsid w:val="00B438CA"/>
    <w:rsid w:val="00B44279"/>
    <w:rsid w:val="00B44CA8"/>
    <w:rsid w:val="00B44D27"/>
    <w:rsid w:val="00B452F7"/>
    <w:rsid w:val="00B45594"/>
    <w:rsid w:val="00B459C3"/>
    <w:rsid w:val="00B45B63"/>
    <w:rsid w:val="00B45C9D"/>
    <w:rsid w:val="00B4612F"/>
    <w:rsid w:val="00B46341"/>
    <w:rsid w:val="00B46B67"/>
    <w:rsid w:val="00B479BB"/>
    <w:rsid w:val="00B501EF"/>
    <w:rsid w:val="00B50944"/>
    <w:rsid w:val="00B50BF8"/>
    <w:rsid w:val="00B51064"/>
    <w:rsid w:val="00B511E9"/>
    <w:rsid w:val="00B514D9"/>
    <w:rsid w:val="00B52B25"/>
    <w:rsid w:val="00B52D55"/>
    <w:rsid w:val="00B52F75"/>
    <w:rsid w:val="00B5373D"/>
    <w:rsid w:val="00B5420A"/>
    <w:rsid w:val="00B549BA"/>
    <w:rsid w:val="00B54DB5"/>
    <w:rsid w:val="00B550BF"/>
    <w:rsid w:val="00B557AC"/>
    <w:rsid w:val="00B5595E"/>
    <w:rsid w:val="00B567DB"/>
    <w:rsid w:val="00B56C53"/>
    <w:rsid w:val="00B56E37"/>
    <w:rsid w:val="00B56E8C"/>
    <w:rsid w:val="00B570EB"/>
    <w:rsid w:val="00B57A96"/>
    <w:rsid w:val="00B57BFF"/>
    <w:rsid w:val="00B60071"/>
    <w:rsid w:val="00B606C3"/>
    <w:rsid w:val="00B60D36"/>
    <w:rsid w:val="00B61260"/>
    <w:rsid w:val="00B615A2"/>
    <w:rsid w:val="00B61A1A"/>
    <w:rsid w:val="00B6234B"/>
    <w:rsid w:val="00B62D91"/>
    <w:rsid w:val="00B62EA3"/>
    <w:rsid w:val="00B63973"/>
    <w:rsid w:val="00B63F03"/>
    <w:rsid w:val="00B64660"/>
    <w:rsid w:val="00B647A0"/>
    <w:rsid w:val="00B64809"/>
    <w:rsid w:val="00B6514C"/>
    <w:rsid w:val="00B65A78"/>
    <w:rsid w:val="00B65F0C"/>
    <w:rsid w:val="00B66022"/>
    <w:rsid w:val="00B6637D"/>
    <w:rsid w:val="00B6638E"/>
    <w:rsid w:val="00B67224"/>
    <w:rsid w:val="00B6773E"/>
    <w:rsid w:val="00B679AE"/>
    <w:rsid w:val="00B67B29"/>
    <w:rsid w:val="00B67E75"/>
    <w:rsid w:val="00B70633"/>
    <w:rsid w:val="00B706BB"/>
    <w:rsid w:val="00B706F1"/>
    <w:rsid w:val="00B7077A"/>
    <w:rsid w:val="00B70F30"/>
    <w:rsid w:val="00B710E3"/>
    <w:rsid w:val="00B7113C"/>
    <w:rsid w:val="00B71409"/>
    <w:rsid w:val="00B71926"/>
    <w:rsid w:val="00B71DCC"/>
    <w:rsid w:val="00B71E37"/>
    <w:rsid w:val="00B72488"/>
    <w:rsid w:val="00B73C6E"/>
    <w:rsid w:val="00B73EE7"/>
    <w:rsid w:val="00B745DB"/>
    <w:rsid w:val="00B74827"/>
    <w:rsid w:val="00B74998"/>
    <w:rsid w:val="00B75305"/>
    <w:rsid w:val="00B756A0"/>
    <w:rsid w:val="00B757F0"/>
    <w:rsid w:val="00B75B78"/>
    <w:rsid w:val="00B75CA1"/>
    <w:rsid w:val="00B76B76"/>
    <w:rsid w:val="00B76CD0"/>
    <w:rsid w:val="00B76EB0"/>
    <w:rsid w:val="00B7711B"/>
    <w:rsid w:val="00B77678"/>
    <w:rsid w:val="00B776FB"/>
    <w:rsid w:val="00B77BF4"/>
    <w:rsid w:val="00B77F0A"/>
    <w:rsid w:val="00B800AE"/>
    <w:rsid w:val="00B8067E"/>
    <w:rsid w:val="00B80C3C"/>
    <w:rsid w:val="00B80C7D"/>
    <w:rsid w:val="00B813FE"/>
    <w:rsid w:val="00B8191C"/>
    <w:rsid w:val="00B81C1B"/>
    <w:rsid w:val="00B81FFA"/>
    <w:rsid w:val="00B82C4F"/>
    <w:rsid w:val="00B82D72"/>
    <w:rsid w:val="00B82FF7"/>
    <w:rsid w:val="00B836BC"/>
    <w:rsid w:val="00B84F77"/>
    <w:rsid w:val="00B852F0"/>
    <w:rsid w:val="00B86BE3"/>
    <w:rsid w:val="00B86E07"/>
    <w:rsid w:val="00B870CD"/>
    <w:rsid w:val="00B9105A"/>
    <w:rsid w:val="00B914EB"/>
    <w:rsid w:val="00B9260F"/>
    <w:rsid w:val="00B92C68"/>
    <w:rsid w:val="00B92E1D"/>
    <w:rsid w:val="00B93541"/>
    <w:rsid w:val="00B9388C"/>
    <w:rsid w:val="00B93B68"/>
    <w:rsid w:val="00B93EE5"/>
    <w:rsid w:val="00B942ED"/>
    <w:rsid w:val="00B94720"/>
    <w:rsid w:val="00B948C3"/>
    <w:rsid w:val="00B964B7"/>
    <w:rsid w:val="00B9764A"/>
    <w:rsid w:val="00B97D8D"/>
    <w:rsid w:val="00BA0384"/>
    <w:rsid w:val="00BA0781"/>
    <w:rsid w:val="00BA08FC"/>
    <w:rsid w:val="00BA0B8A"/>
    <w:rsid w:val="00BA1C25"/>
    <w:rsid w:val="00BA1F3C"/>
    <w:rsid w:val="00BA2762"/>
    <w:rsid w:val="00BA27AE"/>
    <w:rsid w:val="00BA2BD8"/>
    <w:rsid w:val="00BA2E37"/>
    <w:rsid w:val="00BA2FCA"/>
    <w:rsid w:val="00BA3047"/>
    <w:rsid w:val="00BA30E3"/>
    <w:rsid w:val="00BA350D"/>
    <w:rsid w:val="00BA35CE"/>
    <w:rsid w:val="00BA4273"/>
    <w:rsid w:val="00BA4973"/>
    <w:rsid w:val="00BA51F8"/>
    <w:rsid w:val="00BA5300"/>
    <w:rsid w:val="00BA5301"/>
    <w:rsid w:val="00BA5840"/>
    <w:rsid w:val="00BA7B25"/>
    <w:rsid w:val="00BB1467"/>
    <w:rsid w:val="00BB1C9B"/>
    <w:rsid w:val="00BB1F25"/>
    <w:rsid w:val="00BB231E"/>
    <w:rsid w:val="00BB2D77"/>
    <w:rsid w:val="00BB317D"/>
    <w:rsid w:val="00BB3851"/>
    <w:rsid w:val="00BB3870"/>
    <w:rsid w:val="00BB3E0A"/>
    <w:rsid w:val="00BB4086"/>
    <w:rsid w:val="00BB4204"/>
    <w:rsid w:val="00BB4EC9"/>
    <w:rsid w:val="00BB509C"/>
    <w:rsid w:val="00BB56FF"/>
    <w:rsid w:val="00BB6438"/>
    <w:rsid w:val="00BB6838"/>
    <w:rsid w:val="00BB74E6"/>
    <w:rsid w:val="00BB7F86"/>
    <w:rsid w:val="00BC02E3"/>
    <w:rsid w:val="00BC0997"/>
    <w:rsid w:val="00BC0BD4"/>
    <w:rsid w:val="00BC13BA"/>
    <w:rsid w:val="00BC1540"/>
    <w:rsid w:val="00BC16A8"/>
    <w:rsid w:val="00BC1DC3"/>
    <w:rsid w:val="00BC204D"/>
    <w:rsid w:val="00BC2FC8"/>
    <w:rsid w:val="00BC31DB"/>
    <w:rsid w:val="00BC361C"/>
    <w:rsid w:val="00BC3708"/>
    <w:rsid w:val="00BC378C"/>
    <w:rsid w:val="00BC39B3"/>
    <w:rsid w:val="00BC4333"/>
    <w:rsid w:val="00BC4843"/>
    <w:rsid w:val="00BC4A1E"/>
    <w:rsid w:val="00BC4DD3"/>
    <w:rsid w:val="00BC669D"/>
    <w:rsid w:val="00BC77C9"/>
    <w:rsid w:val="00BC7B42"/>
    <w:rsid w:val="00BC7EB4"/>
    <w:rsid w:val="00BD0681"/>
    <w:rsid w:val="00BD0B0B"/>
    <w:rsid w:val="00BD1102"/>
    <w:rsid w:val="00BD115B"/>
    <w:rsid w:val="00BD1349"/>
    <w:rsid w:val="00BD143D"/>
    <w:rsid w:val="00BD17E4"/>
    <w:rsid w:val="00BD2114"/>
    <w:rsid w:val="00BD21DE"/>
    <w:rsid w:val="00BD2366"/>
    <w:rsid w:val="00BD3F82"/>
    <w:rsid w:val="00BD491E"/>
    <w:rsid w:val="00BD4D38"/>
    <w:rsid w:val="00BD64C5"/>
    <w:rsid w:val="00BE0717"/>
    <w:rsid w:val="00BE0E42"/>
    <w:rsid w:val="00BE174A"/>
    <w:rsid w:val="00BE1971"/>
    <w:rsid w:val="00BE213B"/>
    <w:rsid w:val="00BE2722"/>
    <w:rsid w:val="00BE2951"/>
    <w:rsid w:val="00BE3A8A"/>
    <w:rsid w:val="00BE4143"/>
    <w:rsid w:val="00BE455C"/>
    <w:rsid w:val="00BE4B76"/>
    <w:rsid w:val="00BE4F44"/>
    <w:rsid w:val="00BE5980"/>
    <w:rsid w:val="00BE5A19"/>
    <w:rsid w:val="00BE6467"/>
    <w:rsid w:val="00BE6E4B"/>
    <w:rsid w:val="00BE73DE"/>
    <w:rsid w:val="00BE77BB"/>
    <w:rsid w:val="00BE7B81"/>
    <w:rsid w:val="00BE7DFA"/>
    <w:rsid w:val="00BF0621"/>
    <w:rsid w:val="00BF1464"/>
    <w:rsid w:val="00BF1A28"/>
    <w:rsid w:val="00BF21FF"/>
    <w:rsid w:val="00BF237F"/>
    <w:rsid w:val="00BF248E"/>
    <w:rsid w:val="00BF2687"/>
    <w:rsid w:val="00BF3423"/>
    <w:rsid w:val="00BF3545"/>
    <w:rsid w:val="00BF3DB9"/>
    <w:rsid w:val="00BF3F45"/>
    <w:rsid w:val="00BF4303"/>
    <w:rsid w:val="00BF469F"/>
    <w:rsid w:val="00BF4BE2"/>
    <w:rsid w:val="00BF545C"/>
    <w:rsid w:val="00BF5600"/>
    <w:rsid w:val="00BF5796"/>
    <w:rsid w:val="00BF5EFA"/>
    <w:rsid w:val="00BF61E5"/>
    <w:rsid w:val="00BF686B"/>
    <w:rsid w:val="00BF6A61"/>
    <w:rsid w:val="00BF6CDE"/>
    <w:rsid w:val="00BF711C"/>
    <w:rsid w:val="00BF756B"/>
    <w:rsid w:val="00BF7A2F"/>
    <w:rsid w:val="00BF7FCE"/>
    <w:rsid w:val="00C00384"/>
    <w:rsid w:val="00C00A2C"/>
    <w:rsid w:val="00C00B53"/>
    <w:rsid w:val="00C010EA"/>
    <w:rsid w:val="00C013FC"/>
    <w:rsid w:val="00C01808"/>
    <w:rsid w:val="00C019E8"/>
    <w:rsid w:val="00C0206A"/>
    <w:rsid w:val="00C0351E"/>
    <w:rsid w:val="00C03982"/>
    <w:rsid w:val="00C04E97"/>
    <w:rsid w:val="00C05808"/>
    <w:rsid w:val="00C05893"/>
    <w:rsid w:val="00C05F80"/>
    <w:rsid w:val="00C06AF6"/>
    <w:rsid w:val="00C06E39"/>
    <w:rsid w:val="00C07282"/>
    <w:rsid w:val="00C07320"/>
    <w:rsid w:val="00C075DC"/>
    <w:rsid w:val="00C079D5"/>
    <w:rsid w:val="00C102A6"/>
    <w:rsid w:val="00C10AA6"/>
    <w:rsid w:val="00C10E68"/>
    <w:rsid w:val="00C1121D"/>
    <w:rsid w:val="00C112CC"/>
    <w:rsid w:val="00C11BDF"/>
    <w:rsid w:val="00C1223A"/>
    <w:rsid w:val="00C1249A"/>
    <w:rsid w:val="00C12CBB"/>
    <w:rsid w:val="00C132D8"/>
    <w:rsid w:val="00C13A86"/>
    <w:rsid w:val="00C13B7A"/>
    <w:rsid w:val="00C1454E"/>
    <w:rsid w:val="00C145E7"/>
    <w:rsid w:val="00C14961"/>
    <w:rsid w:val="00C14B6C"/>
    <w:rsid w:val="00C14D50"/>
    <w:rsid w:val="00C14E98"/>
    <w:rsid w:val="00C15078"/>
    <w:rsid w:val="00C1537F"/>
    <w:rsid w:val="00C1561B"/>
    <w:rsid w:val="00C15725"/>
    <w:rsid w:val="00C1594C"/>
    <w:rsid w:val="00C15BD9"/>
    <w:rsid w:val="00C15BEB"/>
    <w:rsid w:val="00C16159"/>
    <w:rsid w:val="00C1692E"/>
    <w:rsid w:val="00C16957"/>
    <w:rsid w:val="00C16DC5"/>
    <w:rsid w:val="00C20070"/>
    <w:rsid w:val="00C20FC3"/>
    <w:rsid w:val="00C21130"/>
    <w:rsid w:val="00C212B2"/>
    <w:rsid w:val="00C212B4"/>
    <w:rsid w:val="00C21603"/>
    <w:rsid w:val="00C217E0"/>
    <w:rsid w:val="00C21904"/>
    <w:rsid w:val="00C21C9D"/>
    <w:rsid w:val="00C21D18"/>
    <w:rsid w:val="00C21DAD"/>
    <w:rsid w:val="00C220B7"/>
    <w:rsid w:val="00C22B67"/>
    <w:rsid w:val="00C236AF"/>
    <w:rsid w:val="00C237B6"/>
    <w:rsid w:val="00C257E8"/>
    <w:rsid w:val="00C25BCB"/>
    <w:rsid w:val="00C25BD9"/>
    <w:rsid w:val="00C26EF9"/>
    <w:rsid w:val="00C26F6B"/>
    <w:rsid w:val="00C305BB"/>
    <w:rsid w:val="00C306B7"/>
    <w:rsid w:val="00C3344B"/>
    <w:rsid w:val="00C33E36"/>
    <w:rsid w:val="00C340B2"/>
    <w:rsid w:val="00C343CA"/>
    <w:rsid w:val="00C34621"/>
    <w:rsid w:val="00C351AD"/>
    <w:rsid w:val="00C35F3B"/>
    <w:rsid w:val="00C367E4"/>
    <w:rsid w:val="00C368D9"/>
    <w:rsid w:val="00C36A5F"/>
    <w:rsid w:val="00C36F61"/>
    <w:rsid w:val="00C374E8"/>
    <w:rsid w:val="00C40488"/>
    <w:rsid w:val="00C40E5B"/>
    <w:rsid w:val="00C41287"/>
    <w:rsid w:val="00C41656"/>
    <w:rsid w:val="00C41CA0"/>
    <w:rsid w:val="00C41F86"/>
    <w:rsid w:val="00C4305E"/>
    <w:rsid w:val="00C43198"/>
    <w:rsid w:val="00C43458"/>
    <w:rsid w:val="00C4365F"/>
    <w:rsid w:val="00C43AF2"/>
    <w:rsid w:val="00C43B30"/>
    <w:rsid w:val="00C44DD0"/>
    <w:rsid w:val="00C450D6"/>
    <w:rsid w:val="00C45B11"/>
    <w:rsid w:val="00C46119"/>
    <w:rsid w:val="00C46323"/>
    <w:rsid w:val="00C46683"/>
    <w:rsid w:val="00C472A2"/>
    <w:rsid w:val="00C47713"/>
    <w:rsid w:val="00C47F67"/>
    <w:rsid w:val="00C505D5"/>
    <w:rsid w:val="00C5068F"/>
    <w:rsid w:val="00C50974"/>
    <w:rsid w:val="00C50FA8"/>
    <w:rsid w:val="00C51218"/>
    <w:rsid w:val="00C513B5"/>
    <w:rsid w:val="00C5158D"/>
    <w:rsid w:val="00C51A8A"/>
    <w:rsid w:val="00C51C6A"/>
    <w:rsid w:val="00C51DEE"/>
    <w:rsid w:val="00C52246"/>
    <w:rsid w:val="00C523B5"/>
    <w:rsid w:val="00C525A4"/>
    <w:rsid w:val="00C532E0"/>
    <w:rsid w:val="00C53A46"/>
    <w:rsid w:val="00C54007"/>
    <w:rsid w:val="00C54328"/>
    <w:rsid w:val="00C54557"/>
    <w:rsid w:val="00C55AF0"/>
    <w:rsid w:val="00C5671E"/>
    <w:rsid w:val="00C569E0"/>
    <w:rsid w:val="00C56FD6"/>
    <w:rsid w:val="00C574BF"/>
    <w:rsid w:val="00C60279"/>
    <w:rsid w:val="00C6040D"/>
    <w:rsid w:val="00C60FD0"/>
    <w:rsid w:val="00C61698"/>
    <w:rsid w:val="00C620D5"/>
    <w:rsid w:val="00C62E5C"/>
    <w:rsid w:val="00C6309B"/>
    <w:rsid w:val="00C63D4D"/>
    <w:rsid w:val="00C641DB"/>
    <w:rsid w:val="00C651EF"/>
    <w:rsid w:val="00C652C2"/>
    <w:rsid w:val="00C65A8A"/>
    <w:rsid w:val="00C65B4D"/>
    <w:rsid w:val="00C6636F"/>
    <w:rsid w:val="00C66BD6"/>
    <w:rsid w:val="00C67760"/>
    <w:rsid w:val="00C677B5"/>
    <w:rsid w:val="00C67CB1"/>
    <w:rsid w:val="00C67D3C"/>
    <w:rsid w:val="00C67F7E"/>
    <w:rsid w:val="00C704C5"/>
    <w:rsid w:val="00C706AE"/>
    <w:rsid w:val="00C70883"/>
    <w:rsid w:val="00C70C8A"/>
    <w:rsid w:val="00C7106E"/>
    <w:rsid w:val="00C7264F"/>
    <w:rsid w:val="00C72762"/>
    <w:rsid w:val="00C72A22"/>
    <w:rsid w:val="00C72A8D"/>
    <w:rsid w:val="00C72E12"/>
    <w:rsid w:val="00C72E98"/>
    <w:rsid w:val="00C7348D"/>
    <w:rsid w:val="00C7373C"/>
    <w:rsid w:val="00C73FF9"/>
    <w:rsid w:val="00C74CCE"/>
    <w:rsid w:val="00C74CF5"/>
    <w:rsid w:val="00C75060"/>
    <w:rsid w:val="00C752F3"/>
    <w:rsid w:val="00C75484"/>
    <w:rsid w:val="00C7564D"/>
    <w:rsid w:val="00C759D9"/>
    <w:rsid w:val="00C775B2"/>
    <w:rsid w:val="00C776B6"/>
    <w:rsid w:val="00C77717"/>
    <w:rsid w:val="00C7798F"/>
    <w:rsid w:val="00C77E6F"/>
    <w:rsid w:val="00C800B9"/>
    <w:rsid w:val="00C80C3B"/>
    <w:rsid w:val="00C80D86"/>
    <w:rsid w:val="00C8128F"/>
    <w:rsid w:val="00C81A9C"/>
    <w:rsid w:val="00C824E9"/>
    <w:rsid w:val="00C833AD"/>
    <w:rsid w:val="00C83543"/>
    <w:rsid w:val="00C83721"/>
    <w:rsid w:val="00C83865"/>
    <w:rsid w:val="00C83D99"/>
    <w:rsid w:val="00C8402B"/>
    <w:rsid w:val="00C8453D"/>
    <w:rsid w:val="00C84A73"/>
    <w:rsid w:val="00C857BB"/>
    <w:rsid w:val="00C85D00"/>
    <w:rsid w:val="00C860A5"/>
    <w:rsid w:val="00C8655D"/>
    <w:rsid w:val="00C868DB"/>
    <w:rsid w:val="00C86B29"/>
    <w:rsid w:val="00C871D1"/>
    <w:rsid w:val="00C873A9"/>
    <w:rsid w:val="00C87710"/>
    <w:rsid w:val="00C909E3"/>
    <w:rsid w:val="00C90E4E"/>
    <w:rsid w:val="00C90F06"/>
    <w:rsid w:val="00C90F3D"/>
    <w:rsid w:val="00C9123F"/>
    <w:rsid w:val="00C91610"/>
    <w:rsid w:val="00C916B3"/>
    <w:rsid w:val="00C917E6"/>
    <w:rsid w:val="00C91989"/>
    <w:rsid w:val="00C91AAA"/>
    <w:rsid w:val="00C921B0"/>
    <w:rsid w:val="00C921BA"/>
    <w:rsid w:val="00C92614"/>
    <w:rsid w:val="00C927EC"/>
    <w:rsid w:val="00C928C1"/>
    <w:rsid w:val="00C937A8"/>
    <w:rsid w:val="00C93854"/>
    <w:rsid w:val="00C93AA3"/>
    <w:rsid w:val="00C94768"/>
    <w:rsid w:val="00C94C39"/>
    <w:rsid w:val="00C94EBC"/>
    <w:rsid w:val="00C9503B"/>
    <w:rsid w:val="00C950D8"/>
    <w:rsid w:val="00C95625"/>
    <w:rsid w:val="00C95D69"/>
    <w:rsid w:val="00C9616E"/>
    <w:rsid w:val="00C962B3"/>
    <w:rsid w:val="00C96F7D"/>
    <w:rsid w:val="00C97124"/>
    <w:rsid w:val="00C9759C"/>
    <w:rsid w:val="00C97C8A"/>
    <w:rsid w:val="00CA024C"/>
    <w:rsid w:val="00CA0850"/>
    <w:rsid w:val="00CA089C"/>
    <w:rsid w:val="00CA094B"/>
    <w:rsid w:val="00CA096E"/>
    <w:rsid w:val="00CA10C3"/>
    <w:rsid w:val="00CA138F"/>
    <w:rsid w:val="00CA13FE"/>
    <w:rsid w:val="00CA1411"/>
    <w:rsid w:val="00CA1B9D"/>
    <w:rsid w:val="00CA1DE1"/>
    <w:rsid w:val="00CA2755"/>
    <w:rsid w:val="00CA2CFE"/>
    <w:rsid w:val="00CA4144"/>
    <w:rsid w:val="00CA429C"/>
    <w:rsid w:val="00CA48FA"/>
    <w:rsid w:val="00CA4AC7"/>
    <w:rsid w:val="00CA4D56"/>
    <w:rsid w:val="00CA58EE"/>
    <w:rsid w:val="00CA58F0"/>
    <w:rsid w:val="00CA5E8C"/>
    <w:rsid w:val="00CA5F0E"/>
    <w:rsid w:val="00CA77F8"/>
    <w:rsid w:val="00CA798E"/>
    <w:rsid w:val="00CA7A33"/>
    <w:rsid w:val="00CB0442"/>
    <w:rsid w:val="00CB06D0"/>
    <w:rsid w:val="00CB098C"/>
    <w:rsid w:val="00CB0A76"/>
    <w:rsid w:val="00CB0B44"/>
    <w:rsid w:val="00CB1473"/>
    <w:rsid w:val="00CB1EB5"/>
    <w:rsid w:val="00CB1FAA"/>
    <w:rsid w:val="00CB24F2"/>
    <w:rsid w:val="00CB25C1"/>
    <w:rsid w:val="00CB2921"/>
    <w:rsid w:val="00CB29C2"/>
    <w:rsid w:val="00CB2F52"/>
    <w:rsid w:val="00CB3489"/>
    <w:rsid w:val="00CB3D80"/>
    <w:rsid w:val="00CB4929"/>
    <w:rsid w:val="00CB4959"/>
    <w:rsid w:val="00CB4B1F"/>
    <w:rsid w:val="00CB5760"/>
    <w:rsid w:val="00CB57F6"/>
    <w:rsid w:val="00CB580E"/>
    <w:rsid w:val="00CB596C"/>
    <w:rsid w:val="00CB5A3B"/>
    <w:rsid w:val="00CB60E3"/>
    <w:rsid w:val="00CB60F3"/>
    <w:rsid w:val="00CB665F"/>
    <w:rsid w:val="00CB6B6C"/>
    <w:rsid w:val="00CB6BAE"/>
    <w:rsid w:val="00CB72CC"/>
    <w:rsid w:val="00CC030A"/>
    <w:rsid w:val="00CC0C6E"/>
    <w:rsid w:val="00CC0F79"/>
    <w:rsid w:val="00CC2540"/>
    <w:rsid w:val="00CC27CA"/>
    <w:rsid w:val="00CC2E8C"/>
    <w:rsid w:val="00CC308F"/>
    <w:rsid w:val="00CC3349"/>
    <w:rsid w:val="00CC35C0"/>
    <w:rsid w:val="00CC3CAD"/>
    <w:rsid w:val="00CC4AEE"/>
    <w:rsid w:val="00CC5C23"/>
    <w:rsid w:val="00CC62C6"/>
    <w:rsid w:val="00CC6DA1"/>
    <w:rsid w:val="00CC72F3"/>
    <w:rsid w:val="00CC77CF"/>
    <w:rsid w:val="00CC79D2"/>
    <w:rsid w:val="00CC7B6D"/>
    <w:rsid w:val="00CC7BB2"/>
    <w:rsid w:val="00CC7E01"/>
    <w:rsid w:val="00CC7F9C"/>
    <w:rsid w:val="00CD0703"/>
    <w:rsid w:val="00CD0877"/>
    <w:rsid w:val="00CD0883"/>
    <w:rsid w:val="00CD12AA"/>
    <w:rsid w:val="00CD1551"/>
    <w:rsid w:val="00CD169A"/>
    <w:rsid w:val="00CD1CB6"/>
    <w:rsid w:val="00CD1FB2"/>
    <w:rsid w:val="00CD2BB3"/>
    <w:rsid w:val="00CD3362"/>
    <w:rsid w:val="00CD3376"/>
    <w:rsid w:val="00CD4453"/>
    <w:rsid w:val="00CD454F"/>
    <w:rsid w:val="00CD465F"/>
    <w:rsid w:val="00CD4A1D"/>
    <w:rsid w:val="00CD4A7B"/>
    <w:rsid w:val="00CD4B74"/>
    <w:rsid w:val="00CD5D14"/>
    <w:rsid w:val="00CD69AB"/>
    <w:rsid w:val="00CD6AF4"/>
    <w:rsid w:val="00CE022E"/>
    <w:rsid w:val="00CE02F0"/>
    <w:rsid w:val="00CE052A"/>
    <w:rsid w:val="00CE0C4B"/>
    <w:rsid w:val="00CE0E42"/>
    <w:rsid w:val="00CE0EA4"/>
    <w:rsid w:val="00CE1A66"/>
    <w:rsid w:val="00CE1BAB"/>
    <w:rsid w:val="00CE2279"/>
    <w:rsid w:val="00CE2603"/>
    <w:rsid w:val="00CE27F5"/>
    <w:rsid w:val="00CE2CA1"/>
    <w:rsid w:val="00CE2D6E"/>
    <w:rsid w:val="00CE30BB"/>
    <w:rsid w:val="00CE3599"/>
    <w:rsid w:val="00CE3969"/>
    <w:rsid w:val="00CE3E12"/>
    <w:rsid w:val="00CE3F1A"/>
    <w:rsid w:val="00CE3F76"/>
    <w:rsid w:val="00CE5237"/>
    <w:rsid w:val="00CE528A"/>
    <w:rsid w:val="00CE5501"/>
    <w:rsid w:val="00CE5715"/>
    <w:rsid w:val="00CE59C9"/>
    <w:rsid w:val="00CE5D88"/>
    <w:rsid w:val="00CE72B1"/>
    <w:rsid w:val="00CE746C"/>
    <w:rsid w:val="00CE782E"/>
    <w:rsid w:val="00CE7DCA"/>
    <w:rsid w:val="00CE7E3A"/>
    <w:rsid w:val="00CF0113"/>
    <w:rsid w:val="00CF0258"/>
    <w:rsid w:val="00CF1B9E"/>
    <w:rsid w:val="00CF1F63"/>
    <w:rsid w:val="00CF2026"/>
    <w:rsid w:val="00CF210D"/>
    <w:rsid w:val="00CF239E"/>
    <w:rsid w:val="00CF2A5B"/>
    <w:rsid w:val="00CF2E8B"/>
    <w:rsid w:val="00CF3035"/>
    <w:rsid w:val="00CF3102"/>
    <w:rsid w:val="00CF3145"/>
    <w:rsid w:val="00CF476B"/>
    <w:rsid w:val="00CF484E"/>
    <w:rsid w:val="00CF4B21"/>
    <w:rsid w:val="00CF565E"/>
    <w:rsid w:val="00CF590C"/>
    <w:rsid w:val="00CF5BD5"/>
    <w:rsid w:val="00CF5C1C"/>
    <w:rsid w:val="00CF6800"/>
    <w:rsid w:val="00CF7017"/>
    <w:rsid w:val="00CF7D00"/>
    <w:rsid w:val="00CF7FF9"/>
    <w:rsid w:val="00D001CE"/>
    <w:rsid w:val="00D00E03"/>
    <w:rsid w:val="00D01102"/>
    <w:rsid w:val="00D01E28"/>
    <w:rsid w:val="00D027EC"/>
    <w:rsid w:val="00D02983"/>
    <w:rsid w:val="00D02BD7"/>
    <w:rsid w:val="00D02DC7"/>
    <w:rsid w:val="00D03A46"/>
    <w:rsid w:val="00D041B3"/>
    <w:rsid w:val="00D04203"/>
    <w:rsid w:val="00D054D8"/>
    <w:rsid w:val="00D058E3"/>
    <w:rsid w:val="00D05CC9"/>
    <w:rsid w:val="00D05F18"/>
    <w:rsid w:val="00D05FBA"/>
    <w:rsid w:val="00D0623D"/>
    <w:rsid w:val="00D06295"/>
    <w:rsid w:val="00D0679A"/>
    <w:rsid w:val="00D06FF6"/>
    <w:rsid w:val="00D0738C"/>
    <w:rsid w:val="00D07B61"/>
    <w:rsid w:val="00D1073B"/>
    <w:rsid w:val="00D10DB9"/>
    <w:rsid w:val="00D11884"/>
    <w:rsid w:val="00D11CA4"/>
    <w:rsid w:val="00D12D26"/>
    <w:rsid w:val="00D12F29"/>
    <w:rsid w:val="00D1377D"/>
    <w:rsid w:val="00D13A02"/>
    <w:rsid w:val="00D1407D"/>
    <w:rsid w:val="00D14535"/>
    <w:rsid w:val="00D151F9"/>
    <w:rsid w:val="00D15620"/>
    <w:rsid w:val="00D15AA4"/>
    <w:rsid w:val="00D1682F"/>
    <w:rsid w:val="00D16F79"/>
    <w:rsid w:val="00D179D9"/>
    <w:rsid w:val="00D200CA"/>
    <w:rsid w:val="00D20820"/>
    <w:rsid w:val="00D20C2F"/>
    <w:rsid w:val="00D21348"/>
    <w:rsid w:val="00D215DC"/>
    <w:rsid w:val="00D21E86"/>
    <w:rsid w:val="00D22C18"/>
    <w:rsid w:val="00D23375"/>
    <w:rsid w:val="00D234C6"/>
    <w:rsid w:val="00D238E8"/>
    <w:rsid w:val="00D24718"/>
    <w:rsid w:val="00D2504E"/>
    <w:rsid w:val="00D25595"/>
    <w:rsid w:val="00D259CE"/>
    <w:rsid w:val="00D2605B"/>
    <w:rsid w:val="00D26271"/>
    <w:rsid w:val="00D2699B"/>
    <w:rsid w:val="00D26AF1"/>
    <w:rsid w:val="00D27A61"/>
    <w:rsid w:val="00D30C02"/>
    <w:rsid w:val="00D32457"/>
    <w:rsid w:val="00D32F22"/>
    <w:rsid w:val="00D32FF0"/>
    <w:rsid w:val="00D33003"/>
    <w:rsid w:val="00D334B8"/>
    <w:rsid w:val="00D33FFF"/>
    <w:rsid w:val="00D343A3"/>
    <w:rsid w:val="00D34BA5"/>
    <w:rsid w:val="00D351BF"/>
    <w:rsid w:val="00D3533D"/>
    <w:rsid w:val="00D35E7E"/>
    <w:rsid w:val="00D365C1"/>
    <w:rsid w:val="00D36FD1"/>
    <w:rsid w:val="00D37A8C"/>
    <w:rsid w:val="00D37FD7"/>
    <w:rsid w:val="00D40065"/>
    <w:rsid w:val="00D402AF"/>
    <w:rsid w:val="00D4207E"/>
    <w:rsid w:val="00D42629"/>
    <w:rsid w:val="00D43222"/>
    <w:rsid w:val="00D43928"/>
    <w:rsid w:val="00D43EB3"/>
    <w:rsid w:val="00D44A33"/>
    <w:rsid w:val="00D44BFD"/>
    <w:rsid w:val="00D463C7"/>
    <w:rsid w:val="00D46429"/>
    <w:rsid w:val="00D469F7"/>
    <w:rsid w:val="00D46CD9"/>
    <w:rsid w:val="00D46F46"/>
    <w:rsid w:val="00D46F4C"/>
    <w:rsid w:val="00D4700F"/>
    <w:rsid w:val="00D471FF"/>
    <w:rsid w:val="00D47AC7"/>
    <w:rsid w:val="00D47DBB"/>
    <w:rsid w:val="00D505BE"/>
    <w:rsid w:val="00D506D2"/>
    <w:rsid w:val="00D50C9C"/>
    <w:rsid w:val="00D50DCB"/>
    <w:rsid w:val="00D5117C"/>
    <w:rsid w:val="00D511E5"/>
    <w:rsid w:val="00D511EE"/>
    <w:rsid w:val="00D514C4"/>
    <w:rsid w:val="00D51C1D"/>
    <w:rsid w:val="00D51EC8"/>
    <w:rsid w:val="00D52312"/>
    <w:rsid w:val="00D5283D"/>
    <w:rsid w:val="00D536B3"/>
    <w:rsid w:val="00D53738"/>
    <w:rsid w:val="00D53F7D"/>
    <w:rsid w:val="00D5415D"/>
    <w:rsid w:val="00D541CE"/>
    <w:rsid w:val="00D54A82"/>
    <w:rsid w:val="00D55998"/>
    <w:rsid w:val="00D55CC1"/>
    <w:rsid w:val="00D569E9"/>
    <w:rsid w:val="00D56DF3"/>
    <w:rsid w:val="00D57031"/>
    <w:rsid w:val="00D57200"/>
    <w:rsid w:val="00D575EF"/>
    <w:rsid w:val="00D57FC3"/>
    <w:rsid w:val="00D60DB0"/>
    <w:rsid w:val="00D60DCB"/>
    <w:rsid w:val="00D60E6D"/>
    <w:rsid w:val="00D61154"/>
    <w:rsid w:val="00D618E2"/>
    <w:rsid w:val="00D626C2"/>
    <w:rsid w:val="00D62CA6"/>
    <w:rsid w:val="00D63C9F"/>
    <w:rsid w:val="00D63E26"/>
    <w:rsid w:val="00D6409E"/>
    <w:rsid w:val="00D64250"/>
    <w:rsid w:val="00D64601"/>
    <w:rsid w:val="00D64B57"/>
    <w:rsid w:val="00D6505E"/>
    <w:rsid w:val="00D651F4"/>
    <w:rsid w:val="00D65400"/>
    <w:rsid w:val="00D66050"/>
    <w:rsid w:val="00D664F3"/>
    <w:rsid w:val="00D66624"/>
    <w:rsid w:val="00D66C49"/>
    <w:rsid w:val="00D678E1"/>
    <w:rsid w:val="00D7004E"/>
    <w:rsid w:val="00D71230"/>
    <w:rsid w:val="00D72089"/>
    <w:rsid w:val="00D72AB0"/>
    <w:rsid w:val="00D7353D"/>
    <w:rsid w:val="00D735B8"/>
    <w:rsid w:val="00D73DBD"/>
    <w:rsid w:val="00D740B0"/>
    <w:rsid w:val="00D74AD8"/>
    <w:rsid w:val="00D75202"/>
    <w:rsid w:val="00D75902"/>
    <w:rsid w:val="00D75D17"/>
    <w:rsid w:val="00D75E91"/>
    <w:rsid w:val="00D763EC"/>
    <w:rsid w:val="00D7641C"/>
    <w:rsid w:val="00D76511"/>
    <w:rsid w:val="00D7651E"/>
    <w:rsid w:val="00D7735B"/>
    <w:rsid w:val="00D7751C"/>
    <w:rsid w:val="00D80267"/>
    <w:rsid w:val="00D80430"/>
    <w:rsid w:val="00D80A58"/>
    <w:rsid w:val="00D80B9C"/>
    <w:rsid w:val="00D80D26"/>
    <w:rsid w:val="00D81AF5"/>
    <w:rsid w:val="00D82DF6"/>
    <w:rsid w:val="00D8303A"/>
    <w:rsid w:val="00D832D1"/>
    <w:rsid w:val="00D83A61"/>
    <w:rsid w:val="00D83C83"/>
    <w:rsid w:val="00D84207"/>
    <w:rsid w:val="00D8429A"/>
    <w:rsid w:val="00D84A35"/>
    <w:rsid w:val="00D84B75"/>
    <w:rsid w:val="00D8548A"/>
    <w:rsid w:val="00D85957"/>
    <w:rsid w:val="00D85B0D"/>
    <w:rsid w:val="00D85C3C"/>
    <w:rsid w:val="00D864BE"/>
    <w:rsid w:val="00D872A1"/>
    <w:rsid w:val="00D87EE1"/>
    <w:rsid w:val="00D9034F"/>
    <w:rsid w:val="00D90402"/>
    <w:rsid w:val="00D90AC2"/>
    <w:rsid w:val="00D916D7"/>
    <w:rsid w:val="00D92BFF"/>
    <w:rsid w:val="00D93361"/>
    <w:rsid w:val="00D939DA"/>
    <w:rsid w:val="00D93BAC"/>
    <w:rsid w:val="00D946DC"/>
    <w:rsid w:val="00D9475A"/>
    <w:rsid w:val="00D94790"/>
    <w:rsid w:val="00D9510E"/>
    <w:rsid w:val="00D9599D"/>
    <w:rsid w:val="00D95AD1"/>
    <w:rsid w:val="00D95B19"/>
    <w:rsid w:val="00D95B6D"/>
    <w:rsid w:val="00D95DD2"/>
    <w:rsid w:val="00D960AD"/>
    <w:rsid w:val="00D965E2"/>
    <w:rsid w:val="00D96ECB"/>
    <w:rsid w:val="00DA0639"/>
    <w:rsid w:val="00DA0B28"/>
    <w:rsid w:val="00DA0DDC"/>
    <w:rsid w:val="00DA18AC"/>
    <w:rsid w:val="00DA2463"/>
    <w:rsid w:val="00DA2FC3"/>
    <w:rsid w:val="00DA3381"/>
    <w:rsid w:val="00DA3461"/>
    <w:rsid w:val="00DA3893"/>
    <w:rsid w:val="00DA3991"/>
    <w:rsid w:val="00DA3CDC"/>
    <w:rsid w:val="00DA420F"/>
    <w:rsid w:val="00DA424E"/>
    <w:rsid w:val="00DA47BC"/>
    <w:rsid w:val="00DA4CD1"/>
    <w:rsid w:val="00DA4FAA"/>
    <w:rsid w:val="00DA513F"/>
    <w:rsid w:val="00DA56A6"/>
    <w:rsid w:val="00DA5EFE"/>
    <w:rsid w:val="00DA6A3B"/>
    <w:rsid w:val="00DA70BF"/>
    <w:rsid w:val="00DA7129"/>
    <w:rsid w:val="00DB003B"/>
    <w:rsid w:val="00DB0594"/>
    <w:rsid w:val="00DB1808"/>
    <w:rsid w:val="00DB1ABD"/>
    <w:rsid w:val="00DB1B72"/>
    <w:rsid w:val="00DB2397"/>
    <w:rsid w:val="00DB2714"/>
    <w:rsid w:val="00DB2F95"/>
    <w:rsid w:val="00DB4272"/>
    <w:rsid w:val="00DB50AF"/>
    <w:rsid w:val="00DB5A5F"/>
    <w:rsid w:val="00DB5ADC"/>
    <w:rsid w:val="00DB655D"/>
    <w:rsid w:val="00DB7B54"/>
    <w:rsid w:val="00DB7BC6"/>
    <w:rsid w:val="00DB7F2D"/>
    <w:rsid w:val="00DC0403"/>
    <w:rsid w:val="00DC0510"/>
    <w:rsid w:val="00DC1249"/>
    <w:rsid w:val="00DC15D4"/>
    <w:rsid w:val="00DC1811"/>
    <w:rsid w:val="00DC1BF3"/>
    <w:rsid w:val="00DC1ED4"/>
    <w:rsid w:val="00DC292F"/>
    <w:rsid w:val="00DC2BBD"/>
    <w:rsid w:val="00DC2C85"/>
    <w:rsid w:val="00DC3150"/>
    <w:rsid w:val="00DC35B2"/>
    <w:rsid w:val="00DC363E"/>
    <w:rsid w:val="00DC3C45"/>
    <w:rsid w:val="00DC4C7E"/>
    <w:rsid w:val="00DC57CA"/>
    <w:rsid w:val="00DC5C40"/>
    <w:rsid w:val="00DC6F43"/>
    <w:rsid w:val="00DC783E"/>
    <w:rsid w:val="00DC78F5"/>
    <w:rsid w:val="00DC7C48"/>
    <w:rsid w:val="00DD0385"/>
    <w:rsid w:val="00DD0D47"/>
    <w:rsid w:val="00DD13CC"/>
    <w:rsid w:val="00DD2596"/>
    <w:rsid w:val="00DD2705"/>
    <w:rsid w:val="00DD2957"/>
    <w:rsid w:val="00DD2A87"/>
    <w:rsid w:val="00DD2CB2"/>
    <w:rsid w:val="00DD35E3"/>
    <w:rsid w:val="00DD3863"/>
    <w:rsid w:val="00DD3924"/>
    <w:rsid w:val="00DD48C5"/>
    <w:rsid w:val="00DD4963"/>
    <w:rsid w:val="00DD556D"/>
    <w:rsid w:val="00DD58A2"/>
    <w:rsid w:val="00DD61C0"/>
    <w:rsid w:val="00DD6414"/>
    <w:rsid w:val="00DD64EC"/>
    <w:rsid w:val="00DD6735"/>
    <w:rsid w:val="00DD6AC7"/>
    <w:rsid w:val="00DD7754"/>
    <w:rsid w:val="00DD7FC3"/>
    <w:rsid w:val="00DE1243"/>
    <w:rsid w:val="00DE1C08"/>
    <w:rsid w:val="00DE1E7E"/>
    <w:rsid w:val="00DE2A8E"/>
    <w:rsid w:val="00DE2AB7"/>
    <w:rsid w:val="00DE35C1"/>
    <w:rsid w:val="00DE3ACE"/>
    <w:rsid w:val="00DE3E59"/>
    <w:rsid w:val="00DE3ED3"/>
    <w:rsid w:val="00DE4171"/>
    <w:rsid w:val="00DE4DC0"/>
    <w:rsid w:val="00DE57F4"/>
    <w:rsid w:val="00DE58F5"/>
    <w:rsid w:val="00DE59FF"/>
    <w:rsid w:val="00DE5A79"/>
    <w:rsid w:val="00DE5AC4"/>
    <w:rsid w:val="00DE662D"/>
    <w:rsid w:val="00DE71C7"/>
    <w:rsid w:val="00DE74BD"/>
    <w:rsid w:val="00DE7D66"/>
    <w:rsid w:val="00DF04DF"/>
    <w:rsid w:val="00DF0938"/>
    <w:rsid w:val="00DF0D69"/>
    <w:rsid w:val="00DF20A4"/>
    <w:rsid w:val="00DF2154"/>
    <w:rsid w:val="00DF35AF"/>
    <w:rsid w:val="00DF35B2"/>
    <w:rsid w:val="00DF3A36"/>
    <w:rsid w:val="00DF40F6"/>
    <w:rsid w:val="00DF4778"/>
    <w:rsid w:val="00DF4BDD"/>
    <w:rsid w:val="00DF571A"/>
    <w:rsid w:val="00DF5859"/>
    <w:rsid w:val="00DF5E28"/>
    <w:rsid w:val="00DF6594"/>
    <w:rsid w:val="00DF6A26"/>
    <w:rsid w:val="00DF6D41"/>
    <w:rsid w:val="00DF6D5E"/>
    <w:rsid w:val="00DF6D95"/>
    <w:rsid w:val="00DF6FA6"/>
    <w:rsid w:val="00DF75F0"/>
    <w:rsid w:val="00DF7888"/>
    <w:rsid w:val="00DF7F15"/>
    <w:rsid w:val="00E00508"/>
    <w:rsid w:val="00E00549"/>
    <w:rsid w:val="00E0096B"/>
    <w:rsid w:val="00E00CF0"/>
    <w:rsid w:val="00E00E64"/>
    <w:rsid w:val="00E00E74"/>
    <w:rsid w:val="00E012D2"/>
    <w:rsid w:val="00E01D56"/>
    <w:rsid w:val="00E0367F"/>
    <w:rsid w:val="00E03A25"/>
    <w:rsid w:val="00E03BA2"/>
    <w:rsid w:val="00E03BD9"/>
    <w:rsid w:val="00E04253"/>
    <w:rsid w:val="00E04259"/>
    <w:rsid w:val="00E04592"/>
    <w:rsid w:val="00E0500E"/>
    <w:rsid w:val="00E056C7"/>
    <w:rsid w:val="00E05C82"/>
    <w:rsid w:val="00E05CEF"/>
    <w:rsid w:val="00E0604F"/>
    <w:rsid w:val="00E06795"/>
    <w:rsid w:val="00E0691F"/>
    <w:rsid w:val="00E06DD1"/>
    <w:rsid w:val="00E078E1"/>
    <w:rsid w:val="00E07907"/>
    <w:rsid w:val="00E11287"/>
    <w:rsid w:val="00E112DD"/>
    <w:rsid w:val="00E11784"/>
    <w:rsid w:val="00E11EC2"/>
    <w:rsid w:val="00E1224F"/>
    <w:rsid w:val="00E123C6"/>
    <w:rsid w:val="00E129AC"/>
    <w:rsid w:val="00E12E88"/>
    <w:rsid w:val="00E14B7A"/>
    <w:rsid w:val="00E14F92"/>
    <w:rsid w:val="00E14FD5"/>
    <w:rsid w:val="00E157AD"/>
    <w:rsid w:val="00E15ED0"/>
    <w:rsid w:val="00E15F97"/>
    <w:rsid w:val="00E164F4"/>
    <w:rsid w:val="00E1674D"/>
    <w:rsid w:val="00E169A1"/>
    <w:rsid w:val="00E169C7"/>
    <w:rsid w:val="00E169E3"/>
    <w:rsid w:val="00E16BE1"/>
    <w:rsid w:val="00E179AC"/>
    <w:rsid w:val="00E179DA"/>
    <w:rsid w:val="00E17ECD"/>
    <w:rsid w:val="00E17FC4"/>
    <w:rsid w:val="00E200FA"/>
    <w:rsid w:val="00E2018F"/>
    <w:rsid w:val="00E201D0"/>
    <w:rsid w:val="00E209D1"/>
    <w:rsid w:val="00E20BBA"/>
    <w:rsid w:val="00E2113D"/>
    <w:rsid w:val="00E21DB6"/>
    <w:rsid w:val="00E21FD8"/>
    <w:rsid w:val="00E2333F"/>
    <w:rsid w:val="00E23480"/>
    <w:rsid w:val="00E234D2"/>
    <w:rsid w:val="00E236BC"/>
    <w:rsid w:val="00E23D4C"/>
    <w:rsid w:val="00E23FA5"/>
    <w:rsid w:val="00E2424C"/>
    <w:rsid w:val="00E242F8"/>
    <w:rsid w:val="00E250B3"/>
    <w:rsid w:val="00E25589"/>
    <w:rsid w:val="00E26C01"/>
    <w:rsid w:val="00E272EC"/>
    <w:rsid w:val="00E2747E"/>
    <w:rsid w:val="00E27495"/>
    <w:rsid w:val="00E27583"/>
    <w:rsid w:val="00E27653"/>
    <w:rsid w:val="00E27A9F"/>
    <w:rsid w:val="00E3044D"/>
    <w:rsid w:val="00E306CB"/>
    <w:rsid w:val="00E307BF"/>
    <w:rsid w:val="00E307EB"/>
    <w:rsid w:val="00E308BD"/>
    <w:rsid w:val="00E3097B"/>
    <w:rsid w:val="00E30A48"/>
    <w:rsid w:val="00E30E23"/>
    <w:rsid w:val="00E310B0"/>
    <w:rsid w:val="00E31152"/>
    <w:rsid w:val="00E31212"/>
    <w:rsid w:val="00E313A7"/>
    <w:rsid w:val="00E314F0"/>
    <w:rsid w:val="00E31EB5"/>
    <w:rsid w:val="00E321A4"/>
    <w:rsid w:val="00E3250B"/>
    <w:rsid w:val="00E32AA7"/>
    <w:rsid w:val="00E334C6"/>
    <w:rsid w:val="00E33802"/>
    <w:rsid w:val="00E33B7C"/>
    <w:rsid w:val="00E33D4B"/>
    <w:rsid w:val="00E340AE"/>
    <w:rsid w:val="00E350D9"/>
    <w:rsid w:val="00E35BE9"/>
    <w:rsid w:val="00E35D70"/>
    <w:rsid w:val="00E364A7"/>
    <w:rsid w:val="00E369EB"/>
    <w:rsid w:val="00E36B9B"/>
    <w:rsid w:val="00E370EA"/>
    <w:rsid w:val="00E3739A"/>
    <w:rsid w:val="00E37FF3"/>
    <w:rsid w:val="00E40007"/>
    <w:rsid w:val="00E40072"/>
    <w:rsid w:val="00E40222"/>
    <w:rsid w:val="00E40ABC"/>
    <w:rsid w:val="00E414F1"/>
    <w:rsid w:val="00E42068"/>
    <w:rsid w:val="00E42312"/>
    <w:rsid w:val="00E42841"/>
    <w:rsid w:val="00E437F2"/>
    <w:rsid w:val="00E43AB4"/>
    <w:rsid w:val="00E44666"/>
    <w:rsid w:val="00E44C37"/>
    <w:rsid w:val="00E44C45"/>
    <w:rsid w:val="00E4517C"/>
    <w:rsid w:val="00E4569A"/>
    <w:rsid w:val="00E457FE"/>
    <w:rsid w:val="00E46A9B"/>
    <w:rsid w:val="00E471EF"/>
    <w:rsid w:val="00E47316"/>
    <w:rsid w:val="00E475BB"/>
    <w:rsid w:val="00E50305"/>
    <w:rsid w:val="00E504C6"/>
    <w:rsid w:val="00E50DCC"/>
    <w:rsid w:val="00E522A5"/>
    <w:rsid w:val="00E524A8"/>
    <w:rsid w:val="00E524AB"/>
    <w:rsid w:val="00E5286E"/>
    <w:rsid w:val="00E52A03"/>
    <w:rsid w:val="00E52C9F"/>
    <w:rsid w:val="00E52F4C"/>
    <w:rsid w:val="00E53F48"/>
    <w:rsid w:val="00E54639"/>
    <w:rsid w:val="00E549BF"/>
    <w:rsid w:val="00E54B47"/>
    <w:rsid w:val="00E55A34"/>
    <w:rsid w:val="00E55ACA"/>
    <w:rsid w:val="00E55DB4"/>
    <w:rsid w:val="00E562DE"/>
    <w:rsid w:val="00E568F7"/>
    <w:rsid w:val="00E56DE2"/>
    <w:rsid w:val="00E57D06"/>
    <w:rsid w:val="00E57ED7"/>
    <w:rsid w:val="00E60085"/>
    <w:rsid w:val="00E6072E"/>
    <w:rsid w:val="00E60C3F"/>
    <w:rsid w:val="00E60F8F"/>
    <w:rsid w:val="00E61AA2"/>
    <w:rsid w:val="00E61B05"/>
    <w:rsid w:val="00E61CC5"/>
    <w:rsid w:val="00E620F8"/>
    <w:rsid w:val="00E626CC"/>
    <w:rsid w:val="00E63351"/>
    <w:rsid w:val="00E6401F"/>
    <w:rsid w:val="00E6415C"/>
    <w:rsid w:val="00E6432A"/>
    <w:rsid w:val="00E6488A"/>
    <w:rsid w:val="00E64AF7"/>
    <w:rsid w:val="00E64B0A"/>
    <w:rsid w:val="00E669D0"/>
    <w:rsid w:val="00E66DEC"/>
    <w:rsid w:val="00E67F51"/>
    <w:rsid w:val="00E70031"/>
    <w:rsid w:val="00E704F7"/>
    <w:rsid w:val="00E71257"/>
    <w:rsid w:val="00E7126E"/>
    <w:rsid w:val="00E71DD1"/>
    <w:rsid w:val="00E72070"/>
    <w:rsid w:val="00E72510"/>
    <w:rsid w:val="00E728E3"/>
    <w:rsid w:val="00E72C4C"/>
    <w:rsid w:val="00E72F86"/>
    <w:rsid w:val="00E736DF"/>
    <w:rsid w:val="00E737E5"/>
    <w:rsid w:val="00E73C97"/>
    <w:rsid w:val="00E73F5D"/>
    <w:rsid w:val="00E74350"/>
    <w:rsid w:val="00E74A5F"/>
    <w:rsid w:val="00E74DDA"/>
    <w:rsid w:val="00E74F17"/>
    <w:rsid w:val="00E7582F"/>
    <w:rsid w:val="00E75C71"/>
    <w:rsid w:val="00E75CAC"/>
    <w:rsid w:val="00E763AB"/>
    <w:rsid w:val="00E764C8"/>
    <w:rsid w:val="00E76682"/>
    <w:rsid w:val="00E76868"/>
    <w:rsid w:val="00E769C2"/>
    <w:rsid w:val="00E77853"/>
    <w:rsid w:val="00E77863"/>
    <w:rsid w:val="00E77A65"/>
    <w:rsid w:val="00E77F90"/>
    <w:rsid w:val="00E80D65"/>
    <w:rsid w:val="00E80E5B"/>
    <w:rsid w:val="00E8127B"/>
    <w:rsid w:val="00E81B8C"/>
    <w:rsid w:val="00E83010"/>
    <w:rsid w:val="00E83CEE"/>
    <w:rsid w:val="00E83DF9"/>
    <w:rsid w:val="00E83F5A"/>
    <w:rsid w:val="00E8422D"/>
    <w:rsid w:val="00E84DCB"/>
    <w:rsid w:val="00E852E1"/>
    <w:rsid w:val="00E852E7"/>
    <w:rsid w:val="00E85402"/>
    <w:rsid w:val="00E85CEA"/>
    <w:rsid w:val="00E85D7F"/>
    <w:rsid w:val="00E85E45"/>
    <w:rsid w:val="00E86A7C"/>
    <w:rsid w:val="00E86FCF"/>
    <w:rsid w:val="00E87E89"/>
    <w:rsid w:val="00E903D7"/>
    <w:rsid w:val="00E904D9"/>
    <w:rsid w:val="00E9085B"/>
    <w:rsid w:val="00E91621"/>
    <w:rsid w:val="00E916A6"/>
    <w:rsid w:val="00E92F07"/>
    <w:rsid w:val="00E9386B"/>
    <w:rsid w:val="00E93B50"/>
    <w:rsid w:val="00E93F86"/>
    <w:rsid w:val="00E940DD"/>
    <w:rsid w:val="00E943BB"/>
    <w:rsid w:val="00E94689"/>
    <w:rsid w:val="00E948D9"/>
    <w:rsid w:val="00E94AE4"/>
    <w:rsid w:val="00E95502"/>
    <w:rsid w:val="00E95C4E"/>
    <w:rsid w:val="00E95D8D"/>
    <w:rsid w:val="00E9611C"/>
    <w:rsid w:val="00E9615A"/>
    <w:rsid w:val="00E96501"/>
    <w:rsid w:val="00E97660"/>
    <w:rsid w:val="00E97E6B"/>
    <w:rsid w:val="00EA06EE"/>
    <w:rsid w:val="00EA0D2A"/>
    <w:rsid w:val="00EA0D94"/>
    <w:rsid w:val="00EA1849"/>
    <w:rsid w:val="00EA1DD0"/>
    <w:rsid w:val="00EA2339"/>
    <w:rsid w:val="00EA30CE"/>
    <w:rsid w:val="00EA41B8"/>
    <w:rsid w:val="00EA4560"/>
    <w:rsid w:val="00EA50BE"/>
    <w:rsid w:val="00EA5314"/>
    <w:rsid w:val="00EA5DC5"/>
    <w:rsid w:val="00EA706C"/>
    <w:rsid w:val="00EA7566"/>
    <w:rsid w:val="00EA769A"/>
    <w:rsid w:val="00EA7C1F"/>
    <w:rsid w:val="00EA7CF4"/>
    <w:rsid w:val="00EB0744"/>
    <w:rsid w:val="00EB0AC7"/>
    <w:rsid w:val="00EB1906"/>
    <w:rsid w:val="00EB19A7"/>
    <w:rsid w:val="00EB19A8"/>
    <w:rsid w:val="00EB1CAA"/>
    <w:rsid w:val="00EB2EF6"/>
    <w:rsid w:val="00EB3301"/>
    <w:rsid w:val="00EB4207"/>
    <w:rsid w:val="00EB4346"/>
    <w:rsid w:val="00EB4966"/>
    <w:rsid w:val="00EB4C83"/>
    <w:rsid w:val="00EB5107"/>
    <w:rsid w:val="00EB56E5"/>
    <w:rsid w:val="00EC042F"/>
    <w:rsid w:val="00EC082B"/>
    <w:rsid w:val="00EC0B3F"/>
    <w:rsid w:val="00EC0E99"/>
    <w:rsid w:val="00EC0EED"/>
    <w:rsid w:val="00EC0F08"/>
    <w:rsid w:val="00EC1B26"/>
    <w:rsid w:val="00EC258C"/>
    <w:rsid w:val="00EC27AB"/>
    <w:rsid w:val="00EC37F7"/>
    <w:rsid w:val="00EC3874"/>
    <w:rsid w:val="00EC3B0A"/>
    <w:rsid w:val="00EC43F6"/>
    <w:rsid w:val="00EC47C7"/>
    <w:rsid w:val="00EC4928"/>
    <w:rsid w:val="00EC53E8"/>
    <w:rsid w:val="00EC5420"/>
    <w:rsid w:val="00EC5568"/>
    <w:rsid w:val="00EC6673"/>
    <w:rsid w:val="00EC7A73"/>
    <w:rsid w:val="00ED075C"/>
    <w:rsid w:val="00ED0A35"/>
    <w:rsid w:val="00ED0AE1"/>
    <w:rsid w:val="00ED0DBA"/>
    <w:rsid w:val="00ED1032"/>
    <w:rsid w:val="00ED2511"/>
    <w:rsid w:val="00ED2598"/>
    <w:rsid w:val="00ED3262"/>
    <w:rsid w:val="00ED3AD5"/>
    <w:rsid w:val="00ED3CDA"/>
    <w:rsid w:val="00ED47D5"/>
    <w:rsid w:val="00ED5222"/>
    <w:rsid w:val="00ED546B"/>
    <w:rsid w:val="00ED5AD2"/>
    <w:rsid w:val="00ED5C0E"/>
    <w:rsid w:val="00ED5C49"/>
    <w:rsid w:val="00ED632E"/>
    <w:rsid w:val="00ED6623"/>
    <w:rsid w:val="00ED69FB"/>
    <w:rsid w:val="00ED6A2B"/>
    <w:rsid w:val="00ED6CC9"/>
    <w:rsid w:val="00ED7C5E"/>
    <w:rsid w:val="00ED7D9F"/>
    <w:rsid w:val="00EE07AD"/>
    <w:rsid w:val="00EE10F3"/>
    <w:rsid w:val="00EE1DA9"/>
    <w:rsid w:val="00EE25BB"/>
    <w:rsid w:val="00EE27E9"/>
    <w:rsid w:val="00EE2907"/>
    <w:rsid w:val="00EE3A63"/>
    <w:rsid w:val="00EE420E"/>
    <w:rsid w:val="00EE4542"/>
    <w:rsid w:val="00EE479A"/>
    <w:rsid w:val="00EE4D2A"/>
    <w:rsid w:val="00EE4D35"/>
    <w:rsid w:val="00EE531F"/>
    <w:rsid w:val="00EE6D0B"/>
    <w:rsid w:val="00EE6DC6"/>
    <w:rsid w:val="00EE721E"/>
    <w:rsid w:val="00EE7C2D"/>
    <w:rsid w:val="00EE7D3D"/>
    <w:rsid w:val="00EF0016"/>
    <w:rsid w:val="00EF01B3"/>
    <w:rsid w:val="00EF043D"/>
    <w:rsid w:val="00EF085A"/>
    <w:rsid w:val="00EF0EBC"/>
    <w:rsid w:val="00EF1EDE"/>
    <w:rsid w:val="00EF235F"/>
    <w:rsid w:val="00EF273C"/>
    <w:rsid w:val="00EF348C"/>
    <w:rsid w:val="00EF3542"/>
    <w:rsid w:val="00EF397C"/>
    <w:rsid w:val="00EF3CA9"/>
    <w:rsid w:val="00EF3D98"/>
    <w:rsid w:val="00EF4008"/>
    <w:rsid w:val="00EF42E5"/>
    <w:rsid w:val="00EF44B3"/>
    <w:rsid w:val="00EF58E9"/>
    <w:rsid w:val="00EF66C1"/>
    <w:rsid w:val="00EF6871"/>
    <w:rsid w:val="00EF693E"/>
    <w:rsid w:val="00EF6D9D"/>
    <w:rsid w:val="00EF700A"/>
    <w:rsid w:val="00EF70FD"/>
    <w:rsid w:val="00EF7C18"/>
    <w:rsid w:val="00EF7C53"/>
    <w:rsid w:val="00EF7EAB"/>
    <w:rsid w:val="00F000EE"/>
    <w:rsid w:val="00F0016D"/>
    <w:rsid w:val="00F00246"/>
    <w:rsid w:val="00F00DC4"/>
    <w:rsid w:val="00F00ED7"/>
    <w:rsid w:val="00F0125D"/>
    <w:rsid w:val="00F01823"/>
    <w:rsid w:val="00F01DB4"/>
    <w:rsid w:val="00F0255C"/>
    <w:rsid w:val="00F02AE0"/>
    <w:rsid w:val="00F02D03"/>
    <w:rsid w:val="00F0386E"/>
    <w:rsid w:val="00F03BEA"/>
    <w:rsid w:val="00F03E77"/>
    <w:rsid w:val="00F03F0E"/>
    <w:rsid w:val="00F04209"/>
    <w:rsid w:val="00F04277"/>
    <w:rsid w:val="00F042E2"/>
    <w:rsid w:val="00F0460E"/>
    <w:rsid w:val="00F04EA9"/>
    <w:rsid w:val="00F05746"/>
    <w:rsid w:val="00F05812"/>
    <w:rsid w:val="00F05B28"/>
    <w:rsid w:val="00F05D96"/>
    <w:rsid w:val="00F05FDF"/>
    <w:rsid w:val="00F0773E"/>
    <w:rsid w:val="00F104B3"/>
    <w:rsid w:val="00F11321"/>
    <w:rsid w:val="00F1163F"/>
    <w:rsid w:val="00F11D18"/>
    <w:rsid w:val="00F12161"/>
    <w:rsid w:val="00F1313E"/>
    <w:rsid w:val="00F14590"/>
    <w:rsid w:val="00F14A18"/>
    <w:rsid w:val="00F14D25"/>
    <w:rsid w:val="00F15175"/>
    <w:rsid w:val="00F153CD"/>
    <w:rsid w:val="00F15E25"/>
    <w:rsid w:val="00F16965"/>
    <w:rsid w:val="00F16A2B"/>
    <w:rsid w:val="00F16A9C"/>
    <w:rsid w:val="00F16AE7"/>
    <w:rsid w:val="00F16EE0"/>
    <w:rsid w:val="00F173DB"/>
    <w:rsid w:val="00F17745"/>
    <w:rsid w:val="00F1784E"/>
    <w:rsid w:val="00F212BB"/>
    <w:rsid w:val="00F21B09"/>
    <w:rsid w:val="00F21BD2"/>
    <w:rsid w:val="00F21E3D"/>
    <w:rsid w:val="00F220BC"/>
    <w:rsid w:val="00F2262E"/>
    <w:rsid w:val="00F22D53"/>
    <w:rsid w:val="00F237FD"/>
    <w:rsid w:val="00F23E47"/>
    <w:rsid w:val="00F25094"/>
    <w:rsid w:val="00F25110"/>
    <w:rsid w:val="00F2526E"/>
    <w:rsid w:val="00F25440"/>
    <w:rsid w:val="00F254C5"/>
    <w:rsid w:val="00F26708"/>
    <w:rsid w:val="00F26980"/>
    <w:rsid w:val="00F26BC3"/>
    <w:rsid w:val="00F26E70"/>
    <w:rsid w:val="00F26F1C"/>
    <w:rsid w:val="00F27841"/>
    <w:rsid w:val="00F27AAB"/>
    <w:rsid w:val="00F27C74"/>
    <w:rsid w:val="00F300D1"/>
    <w:rsid w:val="00F30C58"/>
    <w:rsid w:val="00F31405"/>
    <w:rsid w:val="00F317F0"/>
    <w:rsid w:val="00F346EB"/>
    <w:rsid w:val="00F347B5"/>
    <w:rsid w:val="00F34C09"/>
    <w:rsid w:val="00F34CE3"/>
    <w:rsid w:val="00F3505D"/>
    <w:rsid w:val="00F3556B"/>
    <w:rsid w:val="00F3590E"/>
    <w:rsid w:val="00F360CF"/>
    <w:rsid w:val="00F367D2"/>
    <w:rsid w:val="00F36A4C"/>
    <w:rsid w:val="00F36EA2"/>
    <w:rsid w:val="00F3706A"/>
    <w:rsid w:val="00F375AF"/>
    <w:rsid w:val="00F375F2"/>
    <w:rsid w:val="00F37774"/>
    <w:rsid w:val="00F406D3"/>
    <w:rsid w:val="00F40FA0"/>
    <w:rsid w:val="00F4114F"/>
    <w:rsid w:val="00F41DE1"/>
    <w:rsid w:val="00F4230F"/>
    <w:rsid w:val="00F42695"/>
    <w:rsid w:val="00F428EF"/>
    <w:rsid w:val="00F43727"/>
    <w:rsid w:val="00F437B2"/>
    <w:rsid w:val="00F43B7D"/>
    <w:rsid w:val="00F43BF2"/>
    <w:rsid w:val="00F43D8E"/>
    <w:rsid w:val="00F4462C"/>
    <w:rsid w:val="00F44A57"/>
    <w:rsid w:val="00F44F82"/>
    <w:rsid w:val="00F458F1"/>
    <w:rsid w:val="00F45D03"/>
    <w:rsid w:val="00F46310"/>
    <w:rsid w:val="00F47067"/>
    <w:rsid w:val="00F47651"/>
    <w:rsid w:val="00F47B88"/>
    <w:rsid w:val="00F47C38"/>
    <w:rsid w:val="00F47C76"/>
    <w:rsid w:val="00F5031F"/>
    <w:rsid w:val="00F5087F"/>
    <w:rsid w:val="00F50AB6"/>
    <w:rsid w:val="00F50CD6"/>
    <w:rsid w:val="00F50D1E"/>
    <w:rsid w:val="00F51212"/>
    <w:rsid w:val="00F519B6"/>
    <w:rsid w:val="00F51D7A"/>
    <w:rsid w:val="00F523BF"/>
    <w:rsid w:val="00F52DDB"/>
    <w:rsid w:val="00F53497"/>
    <w:rsid w:val="00F544F9"/>
    <w:rsid w:val="00F54BD1"/>
    <w:rsid w:val="00F55BE3"/>
    <w:rsid w:val="00F55CAB"/>
    <w:rsid w:val="00F55CF4"/>
    <w:rsid w:val="00F568D8"/>
    <w:rsid w:val="00F6010C"/>
    <w:rsid w:val="00F609F5"/>
    <w:rsid w:val="00F60B17"/>
    <w:rsid w:val="00F60B4F"/>
    <w:rsid w:val="00F60DFF"/>
    <w:rsid w:val="00F60E46"/>
    <w:rsid w:val="00F61C11"/>
    <w:rsid w:val="00F6217D"/>
    <w:rsid w:val="00F62812"/>
    <w:rsid w:val="00F63082"/>
    <w:rsid w:val="00F6326D"/>
    <w:rsid w:val="00F63387"/>
    <w:rsid w:val="00F633A8"/>
    <w:rsid w:val="00F633F5"/>
    <w:rsid w:val="00F63500"/>
    <w:rsid w:val="00F635A2"/>
    <w:rsid w:val="00F64324"/>
    <w:rsid w:val="00F64623"/>
    <w:rsid w:val="00F64884"/>
    <w:rsid w:val="00F648A6"/>
    <w:rsid w:val="00F64A33"/>
    <w:rsid w:val="00F64AFA"/>
    <w:rsid w:val="00F6600A"/>
    <w:rsid w:val="00F664F1"/>
    <w:rsid w:val="00F66BA5"/>
    <w:rsid w:val="00F67059"/>
    <w:rsid w:val="00F67345"/>
    <w:rsid w:val="00F6761B"/>
    <w:rsid w:val="00F702C9"/>
    <w:rsid w:val="00F70737"/>
    <w:rsid w:val="00F70D8E"/>
    <w:rsid w:val="00F711C6"/>
    <w:rsid w:val="00F711CF"/>
    <w:rsid w:val="00F713EF"/>
    <w:rsid w:val="00F7150E"/>
    <w:rsid w:val="00F71B2A"/>
    <w:rsid w:val="00F71D63"/>
    <w:rsid w:val="00F72050"/>
    <w:rsid w:val="00F72CC9"/>
    <w:rsid w:val="00F735EF"/>
    <w:rsid w:val="00F7367D"/>
    <w:rsid w:val="00F73D0F"/>
    <w:rsid w:val="00F73E4C"/>
    <w:rsid w:val="00F73E69"/>
    <w:rsid w:val="00F73E86"/>
    <w:rsid w:val="00F73F31"/>
    <w:rsid w:val="00F7412C"/>
    <w:rsid w:val="00F74B6E"/>
    <w:rsid w:val="00F74C7A"/>
    <w:rsid w:val="00F74DEE"/>
    <w:rsid w:val="00F75C6C"/>
    <w:rsid w:val="00F76219"/>
    <w:rsid w:val="00F76401"/>
    <w:rsid w:val="00F76991"/>
    <w:rsid w:val="00F76A8E"/>
    <w:rsid w:val="00F76B8C"/>
    <w:rsid w:val="00F7722A"/>
    <w:rsid w:val="00F77296"/>
    <w:rsid w:val="00F77396"/>
    <w:rsid w:val="00F7745D"/>
    <w:rsid w:val="00F774A1"/>
    <w:rsid w:val="00F775D7"/>
    <w:rsid w:val="00F80016"/>
    <w:rsid w:val="00F80109"/>
    <w:rsid w:val="00F801D0"/>
    <w:rsid w:val="00F80364"/>
    <w:rsid w:val="00F803BE"/>
    <w:rsid w:val="00F804A5"/>
    <w:rsid w:val="00F80696"/>
    <w:rsid w:val="00F80721"/>
    <w:rsid w:val="00F80850"/>
    <w:rsid w:val="00F80AD6"/>
    <w:rsid w:val="00F816A6"/>
    <w:rsid w:val="00F81CE8"/>
    <w:rsid w:val="00F82408"/>
    <w:rsid w:val="00F825D1"/>
    <w:rsid w:val="00F83823"/>
    <w:rsid w:val="00F8440D"/>
    <w:rsid w:val="00F84AC2"/>
    <w:rsid w:val="00F854AE"/>
    <w:rsid w:val="00F85AB3"/>
    <w:rsid w:val="00F8688E"/>
    <w:rsid w:val="00F86A8B"/>
    <w:rsid w:val="00F87009"/>
    <w:rsid w:val="00F8716A"/>
    <w:rsid w:val="00F87920"/>
    <w:rsid w:val="00F879B5"/>
    <w:rsid w:val="00F905B6"/>
    <w:rsid w:val="00F90645"/>
    <w:rsid w:val="00F90A07"/>
    <w:rsid w:val="00F91236"/>
    <w:rsid w:val="00F91E99"/>
    <w:rsid w:val="00F91F1A"/>
    <w:rsid w:val="00F92606"/>
    <w:rsid w:val="00F9261E"/>
    <w:rsid w:val="00F93B6C"/>
    <w:rsid w:val="00F93C7E"/>
    <w:rsid w:val="00F93CCB"/>
    <w:rsid w:val="00F93F45"/>
    <w:rsid w:val="00F9400B"/>
    <w:rsid w:val="00F94420"/>
    <w:rsid w:val="00F9483B"/>
    <w:rsid w:val="00F94CB4"/>
    <w:rsid w:val="00F95204"/>
    <w:rsid w:val="00F9547F"/>
    <w:rsid w:val="00F96F69"/>
    <w:rsid w:val="00F976A0"/>
    <w:rsid w:val="00FA004D"/>
    <w:rsid w:val="00FA0384"/>
    <w:rsid w:val="00FA0B42"/>
    <w:rsid w:val="00FA0BC7"/>
    <w:rsid w:val="00FA26B9"/>
    <w:rsid w:val="00FA31B1"/>
    <w:rsid w:val="00FA3B5C"/>
    <w:rsid w:val="00FA3FA3"/>
    <w:rsid w:val="00FA413C"/>
    <w:rsid w:val="00FA442A"/>
    <w:rsid w:val="00FA5181"/>
    <w:rsid w:val="00FA6055"/>
    <w:rsid w:val="00FA6696"/>
    <w:rsid w:val="00FA6997"/>
    <w:rsid w:val="00FA6D22"/>
    <w:rsid w:val="00FA6F57"/>
    <w:rsid w:val="00FA712E"/>
    <w:rsid w:val="00FA7617"/>
    <w:rsid w:val="00FA77A3"/>
    <w:rsid w:val="00FA7CD7"/>
    <w:rsid w:val="00FA7D18"/>
    <w:rsid w:val="00FB0AEC"/>
    <w:rsid w:val="00FB0B71"/>
    <w:rsid w:val="00FB0D41"/>
    <w:rsid w:val="00FB1695"/>
    <w:rsid w:val="00FB18FB"/>
    <w:rsid w:val="00FB1EB1"/>
    <w:rsid w:val="00FB2006"/>
    <w:rsid w:val="00FB202C"/>
    <w:rsid w:val="00FB2612"/>
    <w:rsid w:val="00FB2BB4"/>
    <w:rsid w:val="00FB3959"/>
    <w:rsid w:val="00FB44C1"/>
    <w:rsid w:val="00FB4576"/>
    <w:rsid w:val="00FB53F8"/>
    <w:rsid w:val="00FB54AB"/>
    <w:rsid w:val="00FB5ACA"/>
    <w:rsid w:val="00FB5C1C"/>
    <w:rsid w:val="00FB5E44"/>
    <w:rsid w:val="00FB632B"/>
    <w:rsid w:val="00FB6C79"/>
    <w:rsid w:val="00FB7893"/>
    <w:rsid w:val="00FC0152"/>
    <w:rsid w:val="00FC0E12"/>
    <w:rsid w:val="00FC120F"/>
    <w:rsid w:val="00FC198E"/>
    <w:rsid w:val="00FC1E07"/>
    <w:rsid w:val="00FC241A"/>
    <w:rsid w:val="00FC2EFC"/>
    <w:rsid w:val="00FC32D8"/>
    <w:rsid w:val="00FC337D"/>
    <w:rsid w:val="00FC3598"/>
    <w:rsid w:val="00FC3D3C"/>
    <w:rsid w:val="00FC3D83"/>
    <w:rsid w:val="00FC3DF2"/>
    <w:rsid w:val="00FC42E6"/>
    <w:rsid w:val="00FC4FD1"/>
    <w:rsid w:val="00FC5286"/>
    <w:rsid w:val="00FC60DD"/>
    <w:rsid w:val="00FC60F4"/>
    <w:rsid w:val="00FC6678"/>
    <w:rsid w:val="00FC6A62"/>
    <w:rsid w:val="00FC70DB"/>
    <w:rsid w:val="00FC7757"/>
    <w:rsid w:val="00FC7A88"/>
    <w:rsid w:val="00FD10E6"/>
    <w:rsid w:val="00FD1633"/>
    <w:rsid w:val="00FD16D6"/>
    <w:rsid w:val="00FD1F4B"/>
    <w:rsid w:val="00FD3634"/>
    <w:rsid w:val="00FD39BA"/>
    <w:rsid w:val="00FD4130"/>
    <w:rsid w:val="00FD425D"/>
    <w:rsid w:val="00FD45C5"/>
    <w:rsid w:val="00FD4A5A"/>
    <w:rsid w:val="00FD4D95"/>
    <w:rsid w:val="00FD4DD0"/>
    <w:rsid w:val="00FD5DDB"/>
    <w:rsid w:val="00FD5E9F"/>
    <w:rsid w:val="00FD686D"/>
    <w:rsid w:val="00FD79FB"/>
    <w:rsid w:val="00FD7D00"/>
    <w:rsid w:val="00FE0452"/>
    <w:rsid w:val="00FE1975"/>
    <w:rsid w:val="00FE1B10"/>
    <w:rsid w:val="00FE1F89"/>
    <w:rsid w:val="00FE2E29"/>
    <w:rsid w:val="00FE3188"/>
    <w:rsid w:val="00FE3446"/>
    <w:rsid w:val="00FE34AF"/>
    <w:rsid w:val="00FE37CA"/>
    <w:rsid w:val="00FE4324"/>
    <w:rsid w:val="00FE448A"/>
    <w:rsid w:val="00FE4782"/>
    <w:rsid w:val="00FE484A"/>
    <w:rsid w:val="00FE48D8"/>
    <w:rsid w:val="00FE4997"/>
    <w:rsid w:val="00FE49E5"/>
    <w:rsid w:val="00FE4B23"/>
    <w:rsid w:val="00FE4D69"/>
    <w:rsid w:val="00FE4E55"/>
    <w:rsid w:val="00FE577D"/>
    <w:rsid w:val="00FE5941"/>
    <w:rsid w:val="00FE644B"/>
    <w:rsid w:val="00FE6960"/>
    <w:rsid w:val="00FE71A4"/>
    <w:rsid w:val="00FE74F5"/>
    <w:rsid w:val="00FE757A"/>
    <w:rsid w:val="00FE780D"/>
    <w:rsid w:val="00FE7C72"/>
    <w:rsid w:val="00FE7D89"/>
    <w:rsid w:val="00FF13E0"/>
    <w:rsid w:val="00FF194B"/>
    <w:rsid w:val="00FF3303"/>
    <w:rsid w:val="00FF425B"/>
    <w:rsid w:val="00FF45CF"/>
    <w:rsid w:val="00FF51C3"/>
    <w:rsid w:val="00FF51F3"/>
    <w:rsid w:val="00FF531E"/>
    <w:rsid w:val="00FF5503"/>
    <w:rsid w:val="00FF551A"/>
    <w:rsid w:val="00FF5C7D"/>
    <w:rsid w:val="00FF5CEC"/>
    <w:rsid w:val="00FF5D89"/>
    <w:rsid w:val="00FF60D8"/>
    <w:rsid w:val="00FF6150"/>
    <w:rsid w:val="00FF6168"/>
    <w:rsid w:val="00FF66EE"/>
    <w:rsid w:val="00FF7853"/>
    <w:rsid w:val="00FF7ECC"/>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2"/>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9BA"/>
    <w:pPr>
      <w:keepNext/>
      <w:jc w:val="both"/>
    </w:pPr>
    <w:rPr>
      <w:rFonts w:ascii="Times New Roman" w:hAnsi="Times New Roman"/>
      <w:bCs/>
    </w:rPr>
  </w:style>
  <w:style w:type="paragraph" w:styleId="Titre1">
    <w:name w:val="heading 1"/>
    <w:basedOn w:val="Normal"/>
    <w:next w:val="Normal"/>
    <w:link w:val="Titre1Car"/>
    <w:uiPriority w:val="9"/>
    <w:qFormat/>
    <w:rsid w:val="00535AAF"/>
    <w:pPr>
      <w:keepLines/>
      <w:numPr>
        <w:numId w:val="6"/>
      </w:numPr>
      <w:spacing w:before="200"/>
      <w:outlineLvl w:val="0"/>
    </w:pPr>
    <w:rPr>
      <w:rFonts w:ascii="Garamond" w:eastAsiaTheme="majorEastAsia" w:hAnsi="Garamond" w:cstheme="majorBidi"/>
      <w:b/>
      <w:sz w:val="36"/>
      <w:szCs w:val="28"/>
    </w:rPr>
  </w:style>
  <w:style w:type="paragraph" w:styleId="Titre2">
    <w:name w:val="heading 2"/>
    <w:basedOn w:val="Normal"/>
    <w:next w:val="Normal"/>
    <w:link w:val="Titre2Car"/>
    <w:uiPriority w:val="9"/>
    <w:unhideWhenUsed/>
    <w:qFormat/>
    <w:rsid w:val="002D6C35"/>
    <w:pPr>
      <w:keepLines/>
      <w:spacing w:before="200"/>
      <w:outlineLvl w:val="1"/>
    </w:pPr>
    <w:rPr>
      <w:rFonts w:ascii="Garamond" w:eastAsiaTheme="majorEastAsia" w:hAnsi="Garamond" w:cstheme="majorBidi"/>
      <w:b/>
      <w:sz w:val="28"/>
      <w:szCs w:val="26"/>
    </w:rPr>
  </w:style>
  <w:style w:type="paragraph" w:styleId="Titre3">
    <w:name w:val="heading 3"/>
    <w:basedOn w:val="Normal"/>
    <w:next w:val="Normal"/>
    <w:link w:val="Titre3Car"/>
    <w:uiPriority w:val="9"/>
    <w:unhideWhenUsed/>
    <w:qFormat/>
    <w:rsid w:val="008258A7"/>
    <w:pPr>
      <w:keepLines/>
      <w:numPr>
        <w:ilvl w:val="2"/>
        <w:numId w:val="6"/>
      </w:numPr>
      <w:spacing w:before="200" w:after="0"/>
      <w:outlineLvl w:val="2"/>
    </w:pPr>
    <w:rPr>
      <w:rFonts w:asciiTheme="majorHAnsi" w:eastAsiaTheme="majorEastAsia" w:hAnsiTheme="majorHAnsi" w:cstheme="majorBidi"/>
      <w:b/>
      <w:color w:val="4F81BD" w:themeColor="accent1"/>
    </w:rPr>
  </w:style>
  <w:style w:type="paragraph" w:styleId="Titre4">
    <w:name w:val="heading 4"/>
    <w:basedOn w:val="Normal"/>
    <w:next w:val="Normal"/>
    <w:link w:val="Titre4Car"/>
    <w:uiPriority w:val="9"/>
    <w:semiHidden/>
    <w:unhideWhenUsed/>
    <w:qFormat/>
    <w:rsid w:val="008258A7"/>
    <w:pPr>
      <w:keepLines/>
      <w:numPr>
        <w:ilvl w:val="3"/>
        <w:numId w:val="6"/>
      </w:numPr>
      <w:spacing w:before="200" w:after="0"/>
      <w:outlineLvl w:val="3"/>
    </w:pPr>
    <w:rPr>
      <w:rFonts w:asciiTheme="majorHAnsi" w:eastAsiaTheme="majorEastAsia" w:hAnsiTheme="majorHAnsi" w:cstheme="majorBidi"/>
      <w:b/>
      <w:i/>
      <w:iCs/>
      <w:color w:val="4F81BD" w:themeColor="accent1"/>
    </w:rPr>
  </w:style>
  <w:style w:type="paragraph" w:styleId="Titre5">
    <w:name w:val="heading 5"/>
    <w:basedOn w:val="Normal"/>
    <w:next w:val="Normal"/>
    <w:link w:val="Titre5Car"/>
    <w:uiPriority w:val="9"/>
    <w:semiHidden/>
    <w:unhideWhenUsed/>
    <w:qFormat/>
    <w:rsid w:val="008258A7"/>
    <w:pPr>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8258A7"/>
    <w:pPr>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8258A7"/>
    <w:pPr>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8258A7"/>
    <w:pPr>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8258A7"/>
    <w:pPr>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6A29"/>
    <w:pPr>
      <w:ind w:left="720"/>
      <w:contextualSpacing/>
    </w:pPr>
  </w:style>
  <w:style w:type="character" w:styleId="Textedelespacerserv">
    <w:name w:val="Placeholder Text"/>
    <w:basedOn w:val="Policepardfaut"/>
    <w:uiPriority w:val="99"/>
    <w:semiHidden/>
    <w:rsid w:val="00C759D9"/>
    <w:rPr>
      <w:color w:val="808080"/>
    </w:rPr>
  </w:style>
  <w:style w:type="paragraph" w:styleId="Textedebulles">
    <w:name w:val="Balloon Text"/>
    <w:basedOn w:val="Normal"/>
    <w:link w:val="TextedebullesCar"/>
    <w:uiPriority w:val="99"/>
    <w:semiHidden/>
    <w:unhideWhenUsed/>
    <w:rsid w:val="00C759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59D9"/>
    <w:rPr>
      <w:rFonts w:ascii="Tahoma" w:hAnsi="Tahoma" w:cs="Tahoma"/>
      <w:sz w:val="16"/>
      <w:szCs w:val="16"/>
    </w:rPr>
  </w:style>
  <w:style w:type="character" w:customStyle="1" w:styleId="Titre1Car">
    <w:name w:val="Titre 1 Car"/>
    <w:basedOn w:val="Policepardfaut"/>
    <w:link w:val="Titre1"/>
    <w:rsid w:val="00535AAF"/>
    <w:rPr>
      <w:rFonts w:ascii="Garamond" w:eastAsiaTheme="majorEastAsia" w:hAnsi="Garamond" w:cstheme="majorBidi"/>
      <w:b/>
      <w:bCs/>
      <w:sz w:val="36"/>
      <w:szCs w:val="28"/>
    </w:rPr>
  </w:style>
  <w:style w:type="character" w:customStyle="1" w:styleId="Titre2Car">
    <w:name w:val="Titre 2 Car"/>
    <w:basedOn w:val="Policepardfaut"/>
    <w:link w:val="Titre2"/>
    <w:uiPriority w:val="9"/>
    <w:rsid w:val="002D6C35"/>
    <w:rPr>
      <w:rFonts w:ascii="Garamond" w:eastAsiaTheme="majorEastAsia" w:hAnsi="Garamond" w:cstheme="majorBidi"/>
      <w:b/>
      <w:bCs/>
      <w:sz w:val="28"/>
      <w:szCs w:val="26"/>
    </w:rPr>
  </w:style>
  <w:style w:type="paragraph" w:styleId="Index1">
    <w:name w:val="index 1"/>
    <w:basedOn w:val="Normal"/>
    <w:next w:val="Normal"/>
    <w:autoRedefine/>
    <w:uiPriority w:val="99"/>
    <w:unhideWhenUsed/>
    <w:rsid w:val="0015760F"/>
    <w:pPr>
      <w:spacing w:after="0"/>
      <w:ind w:left="220" w:hanging="220"/>
    </w:pPr>
    <w:rPr>
      <w:sz w:val="18"/>
    </w:rPr>
  </w:style>
  <w:style w:type="paragraph" w:styleId="Index2">
    <w:name w:val="index 2"/>
    <w:basedOn w:val="Normal"/>
    <w:next w:val="Normal"/>
    <w:autoRedefine/>
    <w:uiPriority w:val="99"/>
    <w:unhideWhenUsed/>
    <w:rsid w:val="0015760F"/>
    <w:pPr>
      <w:spacing w:after="0"/>
      <w:ind w:left="440" w:hanging="220"/>
    </w:pPr>
    <w:rPr>
      <w:sz w:val="18"/>
    </w:rPr>
  </w:style>
  <w:style w:type="paragraph" w:styleId="Index3">
    <w:name w:val="index 3"/>
    <w:basedOn w:val="Normal"/>
    <w:next w:val="Normal"/>
    <w:autoRedefine/>
    <w:uiPriority w:val="99"/>
    <w:unhideWhenUsed/>
    <w:rsid w:val="0015760F"/>
    <w:pPr>
      <w:spacing w:after="0"/>
      <w:ind w:left="660" w:hanging="220"/>
    </w:pPr>
    <w:rPr>
      <w:sz w:val="18"/>
    </w:rPr>
  </w:style>
  <w:style w:type="paragraph" w:styleId="Index4">
    <w:name w:val="index 4"/>
    <w:basedOn w:val="Normal"/>
    <w:next w:val="Normal"/>
    <w:autoRedefine/>
    <w:uiPriority w:val="99"/>
    <w:unhideWhenUsed/>
    <w:rsid w:val="0015760F"/>
    <w:pPr>
      <w:spacing w:after="0"/>
      <w:ind w:left="880" w:hanging="220"/>
    </w:pPr>
    <w:rPr>
      <w:sz w:val="18"/>
    </w:rPr>
  </w:style>
  <w:style w:type="paragraph" w:styleId="Index5">
    <w:name w:val="index 5"/>
    <w:basedOn w:val="Normal"/>
    <w:next w:val="Normal"/>
    <w:autoRedefine/>
    <w:uiPriority w:val="99"/>
    <w:unhideWhenUsed/>
    <w:rsid w:val="0015760F"/>
    <w:pPr>
      <w:spacing w:after="0"/>
      <w:ind w:left="1100" w:hanging="220"/>
    </w:pPr>
    <w:rPr>
      <w:sz w:val="18"/>
    </w:rPr>
  </w:style>
  <w:style w:type="paragraph" w:styleId="Index6">
    <w:name w:val="index 6"/>
    <w:basedOn w:val="Normal"/>
    <w:next w:val="Normal"/>
    <w:autoRedefine/>
    <w:uiPriority w:val="99"/>
    <w:unhideWhenUsed/>
    <w:rsid w:val="0015760F"/>
    <w:pPr>
      <w:spacing w:after="0"/>
      <w:ind w:left="1320" w:hanging="220"/>
    </w:pPr>
    <w:rPr>
      <w:sz w:val="18"/>
    </w:rPr>
  </w:style>
  <w:style w:type="paragraph" w:styleId="Index7">
    <w:name w:val="index 7"/>
    <w:basedOn w:val="Normal"/>
    <w:next w:val="Normal"/>
    <w:autoRedefine/>
    <w:uiPriority w:val="99"/>
    <w:unhideWhenUsed/>
    <w:rsid w:val="0015760F"/>
    <w:pPr>
      <w:spacing w:after="0"/>
      <w:ind w:left="1540" w:hanging="220"/>
    </w:pPr>
    <w:rPr>
      <w:sz w:val="18"/>
    </w:rPr>
  </w:style>
  <w:style w:type="paragraph" w:styleId="Index8">
    <w:name w:val="index 8"/>
    <w:basedOn w:val="Normal"/>
    <w:next w:val="Normal"/>
    <w:autoRedefine/>
    <w:uiPriority w:val="99"/>
    <w:unhideWhenUsed/>
    <w:rsid w:val="0015760F"/>
    <w:pPr>
      <w:spacing w:after="0"/>
      <w:ind w:left="1760" w:hanging="220"/>
    </w:pPr>
    <w:rPr>
      <w:sz w:val="18"/>
    </w:rPr>
  </w:style>
  <w:style w:type="paragraph" w:styleId="Index9">
    <w:name w:val="index 9"/>
    <w:basedOn w:val="Normal"/>
    <w:next w:val="Normal"/>
    <w:autoRedefine/>
    <w:uiPriority w:val="99"/>
    <w:unhideWhenUsed/>
    <w:rsid w:val="0015760F"/>
    <w:pPr>
      <w:spacing w:after="0"/>
      <w:ind w:left="1980" w:hanging="220"/>
    </w:pPr>
    <w:rPr>
      <w:sz w:val="18"/>
    </w:rPr>
  </w:style>
  <w:style w:type="paragraph" w:styleId="Titreindex">
    <w:name w:val="index heading"/>
    <w:basedOn w:val="Normal"/>
    <w:next w:val="Index1"/>
    <w:uiPriority w:val="99"/>
    <w:unhideWhenUsed/>
    <w:rsid w:val="0015760F"/>
    <w:pPr>
      <w:spacing w:before="240" w:after="120"/>
      <w:jc w:val="center"/>
    </w:pPr>
    <w:rPr>
      <w:b/>
      <w:sz w:val="26"/>
      <w:szCs w:val="26"/>
    </w:rPr>
  </w:style>
  <w:style w:type="paragraph" w:styleId="TM1">
    <w:name w:val="toc 1"/>
    <w:basedOn w:val="Normal"/>
    <w:next w:val="Normal"/>
    <w:autoRedefine/>
    <w:uiPriority w:val="39"/>
    <w:unhideWhenUsed/>
    <w:rsid w:val="00644CBB"/>
    <w:pPr>
      <w:spacing w:after="100"/>
    </w:pPr>
    <w:rPr>
      <w:rFonts w:ascii="Garamond" w:hAnsi="Garamond"/>
    </w:rPr>
  </w:style>
  <w:style w:type="paragraph" w:styleId="TM2">
    <w:name w:val="toc 2"/>
    <w:basedOn w:val="Normal"/>
    <w:next w:val="Normal"/>
    <w:autoRedefine/>
    <w:uiPriority w:val="39"/>
    <w:unhideWhenUsed/>
    <w:rsid w:val="00644CBB"/>
    <w:pPr>
      <w:spacing w:after="100"/>
      <w:ind w:left="220"/>
    </w:pPr>
    <w:rPr>
      <w:rFonts w:ascii="Garamond" w:hAnsi="Garamond"/>
    </w:rPr>
  </w:style>
  <w:style w:type="character" w:styleId="Lienhypertexte">
    <w:name w:val="Hyperlink"/>
    <w:basedOn w:val="Policepardfaut"/>
    <w:uiPriority w:val="99"/>
    <w:unhideWhenUsed/>
    <w:rsid w:val="0015760F"/>
    <w:rPr>
      <w:color w:val="0000FF" w:themeColor="hyperlink"/>
      <w:u w:val="single"/>
    </w:rPr>
  </w:style>
  <w:style w:type="paragraph" w:styleId="En-tte">
    <w:name w:val="header"/>
    <w:basedOn w:val="Normal"/>
    <w:link w:val="En-tteCar"/>
    <w:uiPriority w:val="99"/>
    <w:semiHidden/>
    <w:unhideWhenUsed/>
    <w:rsid w:val="00A5239B"/>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A5239B"/>
  </w:style>
  <w:style w:type="paragraph" w:styleId="Pieddepage">
    <w:name w:val="footer"/>
    <w:basedOn w:val="Normal"/>
    <w:link w:val="PieddepageCar"/>
    <w:uiPriority w:val="99"/>
    <w:unhideWhenUsed/>
    <w:rsid w:val="00A5239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5239B"/>
  </w:style>
  <w:style w:type="character" w:customStyle="1" w:styleId="Titre3Car">
    <w:name w:val="Titre 3 Car"/>
    <w:basedOn w:val="Policepardfaut"/>
    <w:link w:val="Titre3"/>
    <w:uiPriority w:val="9"/>
    <w:rsid w:val="008258A7"/>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8258A7"/>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8258A7"/>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8258A7"/>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8258A7"/>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8258A7"/>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8258A7"/>
    <w:rPr>
      <w:rFonts w:asciiTheme="majorHAnsi" w:eastAsiaTheme="majorEastAsia" w:hAnsiTheme="majorHAnsi" w:cstheme="majorBidi"/>
      <w:i/>
      <w:iCs/>
      <w:color w:val="404040" w:themeColor="text1" w:themeTint="BF"/>
      <w:sz w:val="20"/>
      <w:szCs w:val="20"/>
    </w:rPr>
  </w:style>
  <w:style w:type="paragraph" w:styleId="Notedefin">
    <w:name w:val="endnote text"/>
    <w:basedOn w:val="Normal"/>
    <w:link w:val="NotedefinCar"/>
    <w:uiPriority w:val="99"/>
    <w:semiHidden/>
    <w:unhideWhenUsed/>
    <w:rsid w:val="005C33DF"/>
    <w:pPr>
      <w:spacing w:after="0" w:line="240" w:lineRule="auto"/>
    </w:pPr>
    <w:rPr>
      <w:sz w:val="20"/>
      <w:szCs w:val="20"/>
    </w:rPr>
  </w:style>
  <w:style w:type="character" w:customStyle="1" w:styleId="NotedefinCar">
    <w:name w:val="Note de fin Car"/>
    <w:basedOn w:val="Policepardfaut"/>
    <w:link w:val="Notedefin"/>
    <w:uiPriority w:val="99"/>
    <w:semiHidden/>
    <w:rsid w:val="005C33DF"/>
    <w:rPr>
      <w:sz w:val="20"/>
      <w:szCs w:val="20"/>
    </w:rPr>
  </w:style>
  <w:style w:type="character" w:styleId="Appeldenotedefin">
    <w:name w:val="endnote reference"/>
    <w:basedOn w:val="Policepardfaut"/>
    <w:uiPriority w:val="99"/>
    <w:semiHidden/>
    <w:unhideWhenUsed/>
    <w:rsid w:val="005C33DF"/>
    <w:rPr>
      <w:vertAlign w:val="superscript"/>
    </w:rPr>
  </w:style>
  <w:style w:type="paragraph" w:styleId="Notedebasdepage">
    <w:name w:val="footnote text"/>
    <w:aliases w:val="Car,single space,FOOTNOTES,fn,ALTS FOOTNOTE,Note de bas de page2,Note de bas de page Car Car Car,Note de bas de page Car Car,Note de bas de page Car Car Car2,Note de bas de page Car Car Car3,Note de bas de page Car Car Car4, Car"/>
    <w:basedOn w:val="Normal"/>
    <w:link w:val="NotedebasdepageCar"/>
    <w:uiPriority w:val="99"/>
    <w:unhideWhenUsed/>
    <w:rsid w:val="00EC3874"/>
    <w:pPr>
      <w:spacing w:after="0" w:line="240" w:lineRule="auto"/>
    </w:pPr>
    <w:rPr>
      <w:sz w:val="18"/>
      <w:szCs w:val="20"/>
    </w:rPr>
  </w:style>
  <w:style w:type="character" w:customStyle="1" w:styleId="NotedebasdepageCar">
    <w:name w:val="Note de bas de page Car"/>
    <w:aliases w:val="Car Car,single space Car,FOOTNOTES Car,fn Car,ALTS FOOTNOTE Car,Note de bas de page2 Car,Note de bas de page Car Car Car Car,Note de bas de page Car Car Car1,Note de bas de page Car Car Car2 Car, Car Car"/>
    <w:basedOn w:val="Policepardfaut"/>
    <w:link w:val="Notedebasdepage"/>
    <w:uiPriority w:val="99"/>
    <w:rsid w:val="00EC3874"/>
    <w:rPr>
      <w:rFonts w:ascii="Times New Roman" w:hAnsi="Times New Roman"/>
      <w:bCs/>
      <w:sz w:val="18"/>
      <w:szCs w:val="20"/>
    </w:rPr>
  </w:style>
  <w:style w:type="character" w:styleId="Appelnotedebasdep">
    <w:name w:val="footnote reference"/>
    <w:aliases w:val="ftref,Char Char Char Char Car Char,Ref,de nota al pie,16 Point,Superscript 6 Point, BVI fnr"/>
    <w:basedOn w:val="Policepardfaut"/>
    <w:uiPriority w:val="99"/>
    <w:semiHidden/>
    <w:unhideWhenUsed/>
    <w:rsid w:val="005C33DF"/>
    <w:rPr>
      <w:vertAlign w:val="superscript"/>
    </w:rPr>
  </w:style>
  <w:style w:type="paragraph" w:styleId="NormalWeb">
    <w:name w:val="Normal (Web)"/>
    <w:basedOn w:val="Normal"/>
    <w:unhideWhenUsed/>
    <w:rsid w:val="00474EAB"/>
    <w:pPr>
      <w:spacing w:before="100" w:beforeAutospacing="1" w:after="100" w:afterAutospacing="1" w:line="240" w:lineRule="auto"/>
    </w:pPr>
    <w:rPr>
      <w:rFonts w:eastAsia="Times New Roman" w:cs="Times New Roman"/>
      <w:sz w:val="24"/>
      <w:szCs w:val="24"/>
    </w:rPr>
  </w:style>
  <w:style w:type="paragraph" w:customStyle="1" w:styleId="Default">
    <w:name w:val="Default"/>
    <w:rsid w:val="00AF1B2B"/>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1"/>
    <w:basedOn w:val="Titre1"/>
    <w:link w:val="Style1Car"/>
    <w:qFormat/>
    <w:rsid w:val="00E123C6"/>
    <w:pPr>
      <w:numPr>
        <w:numId w:val="4"/>
      </w:numPr>
    </w:pPr>
    <w:rPr>
      <w:szCs w:val="36"/>
    </w:rPr>
  </w:style>
  <w:style w:type="paragraph" w:customStyle="1" w:styleId="Style2">
    <w:name w:val="Style2"/>
    <w:basedOn w:val="Titre2"/>
    <w:link w:val="Style2Car"/>
    <w:qFormat/>
    <w:rsid w:val="00E123C6"/>
    <w:pPr>
      <w:numPr>
        <w:ilvl w:val="1"/>
        <w:numId w:val="5"/>
      </w:numPr>
    </w:pPr>
  </w:style>
  <w:style w:type="character" w:customStyle="1" w:styleId="Style1Car">
    <w:name w:val="Style1 Car"/>
    <w:basedOn w:val="Titre1Car"/>
    <w:link w:val="Style1"/>
    <w:rsid w:val="00E123C6"/>
    <w:rPr>
      <w:rFonts w:ascii="Garamond" w:eastAsiaTheme="majorEastAsia" w:hAnsi="Garamond" w:cstheme="majorBidi"/>
      <w:b/>
      <w:bCs/>
      <w:sz w:val="36"/>
      <w:szCs w:val="36"/>
    </w:rPr>
  </w:style>
  <w:style w:type="character" w:customStyle="1" w:styleId="Style2Car">
    <w:name w:val="Style2 Car"/>
    <w:basedOn w:val="Titre2Car"/>
    <w:link w:val="Style2"/>
    <w:rsid w:val="00E123C6"/>
    <w:rPr>
      <w:rFonts w:ascii="Garamond" w:eastAsiaTheme="majorEastAsia" w:hAnsi="Garamond" w:cstheme="majorBidi"/>
      <w:b/>
      <w:bCs/>
      <w:sz w:val="28"/>
      <w:szCs w:val="26"/>
    </w:rPr>
  </w:style>
  <w:style w:type="paragraph" w:styleId="Lgende">
    <w:name w:val="caption"/>
    <w:basedOn w:val="Normal"/>
    <w:next w:val="Normal"/>
    <w:uiPriority w:val="35"/>
    <w:unhideWhenUsed/>
    <w:qFormat/>
    <w:rsid w:val="002237AF"/>
    <w:pPr>
      <w:spacing w:after="120" w:line="240" w:lineRule="auto"/>
      <w:jc w:val="center"/>
    </w:pPr>
    <w:rPr>
      <w:bCs w:val="0"/>
    </w:rPr>
  </w:style>
  <w:style w:type="paragraph" w:styleId="Tabledesillustrations">
    <w:name w:val="table of figures"/>
    <w:basedOn w:val="Normal"/>
    <w:next w:val="Normal"/>
    <w:uiPriority w:val="99"/>
    <w:unhideWhenUsed/>
    <w:rsid w:val="00176EC3"/>
    <w:pPr>
      <w:spacing w:after="0"/>
    </w:pPr>
  </w:style>
  <w:style w:type="paragraph" w:customStyle="1" w:styleId="indent">
    <w:name w:val="indent"/>
    <w:basedOn w:val="Normal"/>
    <w:rsid w:val="00D37FD7"/>
    <w:pPr>
      <w:keepNext w:val="0"/>
      <w:spacing w:before="100" w:beforeAutospacing="1" w:after="240" w:line="240" w:lineRule="auto"/>
      <w:ind w:left="225"/>
      <w:jc w:val="left"/>
    </w:pPr>
    <w:rPr>
      <w:rFonts w:ascii="Arial" w:eastAsia="Times New Roman" w:hAnsi="Arial" w:cs="Arial"/>
      <w:bCs w:val="0"/>
      <w:color w:val="666666"/>
      <w:sz w:val="18"/>
      <w:lang w:val="fr-CH" w:eastAsia="fr-CH"/>
    </w:rPr>
  </w:style>
  <w:style w:type="character" w:customStyle="1" w:styleId="spipsurligne1">
    <w:name w:val="spip_surligne1"/>
    <w:basedOn w:val="Policepardfaut"/>
    <w:rsid w:val="00D37FD7"/>
    <w:rPr>
      <w:shd w:val="clear" w:color="auto" w:fill="FFFF66"/>
    </w:rPr>
  </w:style>
  <w:style w:type="character" w:styleId="Marquedecommentaire">
    <w:name w:val="annotation reference"/>
    <w:basedOn w:val="Policepardfaut"/>
    <w:uiPriority w:val="99"/>
    <w:semiHidden/>
    <w:unhideWhenUsed/>
    <w:rsid w:val="00647AB5"/>
    <w:rPr>
      <w:sz w:val="16"/>
      <w:szCs w:val="16"/>
    </w:rPr>
  </w:style>
  <w:style w:type="paragraph" w:styleId="Commentaire">
    <w:name w:val="annotation text"/>
    <w:basedOn w:val="Normal"/>
    <w:link w:val="CommentaireCar"/>
    <w:uiPriority w:val="99"/>
    <w:unhideWhenUsed/>
    <w:rsid w:val="00E471EF"/>
    <w:pPr>
      <w:spacing w:line="240" w:lineRule="auto"/>
    </w:pPr>
    <w:rPr>
      <w:sz w:val="20"/>
      <w:szCs w:val="20"/>
    </w:rPr>
  </w:style>
  <w:style w:type="character" w:customStyle="1" w:styleId="CommentaireCar">
    <w:name w:val="Commentaire Car"/>
    <w:basedOn w:val="Policepardfaut"/>
    <w:link w:val="Commentaire"/>
    <w:uiPriority w:val="99"/>
    <w:rsid w:val="00E471EF"/>
    <w:rPr>
      <w:rFonts w:ascii="Times New Roman" w:hAnsi="Times New Roman"/>
      <w:bCs/>
      <w:sz w:val="20"/>
      <w:szCs w:val="20"/>
    </w:rPr>
  </w:style>
  <w:style w:type="paragraph" w:styleId="Objetducommentaire">
    <w:name w:val="annotation subject"/>
    <w:basedOn w:val="Commentaire"/>
    <w:next w:val="Commentaire"/>
    <w:link w:val="ObjetducommentaireCar"/>
    <w:uiPriority w:val="99"/>
    <w:semiHidden/>
    <w:unhideWhenUsed/>
    <w:rsid w:val="00EE6DC6"/>
    <w:rPr>
      <w:b/>
    </w:rPr>
  </w:style>
  <w:style w:type="character" w:customStyle="1" w:styleId="ObjetducommentaireCar">
    <w:name w:val="Objet du commentaire Car"/>
    <w:basedOn w:val="CommentaireCar"/>
    <w:link w:val="Objetducommentaire"/>
    <w:uiPriority w:val="99"/>
    <w:semiHidden/>
    <w:rsid w:val="00EE6DC6"/>
    <w:rPr>
      <w:rFonts w:ascii="Times New Roman" w:hAnsi="Times New Roman"/>
      <w:b/>
      <w:bCs/>
      <w:sz w:val="20"/>
      <w:szCs w:val="20"/>
    </w:rPr>
  </w:style>
  <w:style w:type="paragraph" w:styleId="Rvision">
    <w:name w:val="Revision"/>
    <w:hidden/>
    <w:uiPriority w:val="99"/>
    <w:semiHidden/>
    <w:rsid w:val="00C41287"/>
    <w:pPr>
      <w:spacing w:after="0" w:line="240" w:lineRule="auto"/>
    </w:pPr>
    <w:rPr>
      <w:rFonts w:ascii="Times New Roman" w:hAnsi="Times New Roman"/>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2"/>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9BA"/>
    <w:pPr>
      <w:keepNext/>
      <w:jc w:val="both"/>
    </w:pPr>
    <w:rPr>
      <w:rFonts w:ascii="Times New Roman" w:hAnsi="Times New Roman"/>
      <w:bCs/>
    </w:rPr>
  </w:style>
  <w:style w:type="paragraph" w:styleId="Titre1">
    <w:name w:val="heading 1"/>
    <w:basedOn w:val="Normal"/>
    <w:next w:val="Normal"/>
    <w:link w:val="Titre1Car"/>
    <w:uiPriority w:val="9"/>
    <w:qFormat/>
    <w:rsid w:val="00535AAF"/>
    <w:pPr>
      <w:keepLines/>
      <w:numPr>
        <w:numId w:val="6"/>
      </w:numPr>
      <w:spacing w:before="200"/>
      <w:outlineLvl w:val="0"/>
    </w:pPr>
    <w:rPr>
      <w:rFonts w:ascii="Garamond" w:eastAsiaTheme="majorEastAsia" w:hAnsi="Garamond" w:cstheme="majorBidi"/>
      <w:b/>
      <w:sz w:val="36"/>
      <w:szCs w:val="28"/>
    </w:rPr>
  </w:style>
  <w:style w:type="paragraph" w:styleId="Titre2">
    <w:name w:val="heading 2"/>
    <w:basedOn w:val="Normal"/>
    <w:next w:val="Normal"/>
    <w:link w:val="Titre2Car"/>
    <w:uiPriority w:val="9"/>
    <w:unhideWhenUsed/>
    <w:qFormat/>
    <w:rsid w:val="002D6C35"/>
    <w:pPr>
      <w:keepLines/>
      <w:spacing w:before="200"/>
      <w:outlineLvl w:val="1"/>
    </w:pPr>
    <w:rPr>
      <w:rFonts w:ascii="Garamond" w:eastAsiaTheme="majorEastAsia" w:hAnsi="Garamond" w:cstheme="majorBidi"/>
      <w:b/>
      <w:sz w:val="28"/>
      <w:szCs w:val="26"/>
    </w:rPr>
  </w:style>
  <w:style w:type="paragraph" w:styleId="Titre3">
    <w:name w:val="heading 3"/>
    <w:basedOn w:val="Normal"/>
    <w:next w:val="Normal"/>
    <w:link w:val="Titre3Car"/>
    <w:uiPriority w:val="9"/>
    <w:unhideWhenUsed/>
    <w:qFormat/>
    <w:rsid w:val="008258A7"/>
    <w:pPr>
      <w:keepLines/>
      <w:numPr>
        <w:ilvl w:val="2"/>
        <w:numId w:val="6"/>
      </w:numPr>
      <w:spacing w:before="200" w:after="0"/>
      <w:outlineLvl w:val="2"/>
    </w:pPr>
    <w:rPr>
      <w:rFonts w:asciiTheme="majorHAnsi" w:eastAsiaTheme="majorEastAsia" w:hAnsiTheme="majorHAnsi" w:cstheme="majorBidi"/>
      <w:b/>
      <w:color w:val="4F81BD" w:themeColor="accent1"/>
    </w:rPr>
  </w:style>
  <w:style w:type="paragraph" w:styleId="Titre4">
    <w:name w:val="heading 4"/>
    <w:basedOn w:val="Normal"/>
    <w:next w:val="Normal"/>
    <w:link w:val="Titre4Car"/>
    <w:uiPriority w:val="9"/>
    <w:semiHidden/>
    <w:unhideWhenUsed/>
    <w:qFormat/>
    <w:rsid w:val="008258A7"/>
    <w:pPr>
      <w:keepLines/>
      <w:numPr>
        <w:ilvl w:val="3"/>
        <w:numId w:val="6"/>
      </w:numPr>
      <w:spacing w:before="200" w:after="0"/>
      <w:outlineLvl w:val="3"/>
    </w:pPr>
    <w:rPr>
      <w:rFonts w:asciiTheme="majorHAnsi" w:eastAsiaTheme="majorEastAsia" w:hAnsiTheme="majorHAnsi" w:cstheme="majorBidi"/>
      <w:b/>
      <w:i/>
      <w:iCs/>
      <w:color w:val="4F81BD" w:themeColor="accent1"/>
    </w:rPr>
  </w:style>
  <w:style w:type="paragraph" w:styleId="Titre5">
    <w:name w:val="heading 5"/>
    <w:basedOn w:val="Normal"/>
    <w:next w:val="Normal"/>
    <w:link w:val="Titre5Car"/>
    <w:uiPriority w:val="9"/>
    <w:semiHidden/>
    <w:unhideWhenUsed/>
    <w:qFormat/>
    <w:rsid w:val="008258A7"/>
    <w:pPr>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8258A7"/>
    <w:pPr>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8258A7"/>
    <w:pPr>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8258A7"/>
    <w:pPr>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8258A7"/>
    <w:pPr>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6A29"/>
    <w:pPr>
      <w:ind w:left="720"/>
      <w:contextualSpacing/>
    </w:pPr>
  </w:style>
  <w:style w:type="character" w:styleId="Textedelespacerserv">
    <w:name w:val="Placeholder Text"/>
    <w:basedOn w:val="Policepardfaut"/>
    <w:uiPriority w:val="99"/>
    <w:semiHidden/>
    <w:rsid w:val="00C759D9"/>
    <w:rPr>
      <w:color w:val="808080"/>
    </w:rPr>
  </w:style>
  <w:style w:type="paragraph" w:styleId="Textedebulles">
    <w:name w:val="Balloon Text"/>
    <w:basedOn w:val="Normal"/>
    <w:link w:val="TextedebullesCar"/>
    <w:uiPriority w:val="99"/>
    <w:semiHidden/>
    <w:unhideWhenUsed/>
    <w:rsid w:val="00C759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59D9"/>
    <w:rPr>
      <w:rFonts w:ascii="Tahoma" w:hAnsi="Tahoma" w:cs="Tahoma"/>
      <w:sz w:val="16"/>
      <w:szCs w:val="16"/>
    </w:rPr>
  </w:style>
  <w:style w:type="character" w:customStyle="1" w:styleId="Titre1Car">
    <w:name w:val="Titre 1 Car"/>
    <w:basedOn w:val="Policepardfaut"/>
    <w:link w:val="Titre1"/>
    <w:rsid w:val="00535AAF"/>
    <w:rPr>
      <w:rFonts w:ascii="Garamond" w:eastAsiaTheme="majorEastAsia" w:hAnsi="Garamond" w:cstheme="majorBidi"/>
      <w:b/>
      <w:bCs/>
      <w:sz w:val="36"/>
      <w:szCs w:val="28"/>
    </w:rPr>
  </w:style>
  <w:style w:type="character" w:customStyle="1" w:styleId="Titre2Car">
    <w:name w:val="Titre 2 Car"/>
    <w:basedOn w:val="Policepardfaut"/>
    <w:link w:val="Titre2"/>
    <w:uiPriority w:val="9"/>
    <w:rsid w:val="002D6C35"/>
    <w:rPr>
      <w:rFonts w:ascii="Garamond" w:eastAsiaTheme="majorEastAsia" w:hAnsi="Garamond" w:cstheme="majorBidi"/>
      <w:b/>
      <w:bCs/>
      <w:sz w:val="28"/>
      <w:szCs w:val="26"/>
    </w:rPr>
  </w:style>
  <w:style w:type="paragraph" w:styleId="Index1">
    <w:name w:val="index 1"/>
    <w:basedOn w:val="Normal"/>
    <w:next w:val="Normal"/>
    <w:autoRedefine/>
    <w:uiPriority w:val="99"/>
    <w:unhideWhenUsed/>
    <w:rsid w:val="0015760F"/>
    <w:pPr>
      <w:spacing w:after="0"/>
      <w:ind w:left="220" w:hanging="220"/>
    </w:pPr>
    <w:rPr>
      <w:sz w:val="18"/>
    </w:rPr>
  </w:style>
  <w:style w:type="paragraph" w:styleId="Index2">
    <w:name w:val="index 2"/>
    <w:basedOn w:val="Normal"/>
    <w:next w:val="Normal"/>
    <w:autoRedefine/>
    <w:uiPriority w:val="99"/>
    <w:unhideWhenUsed/>
    <w:rsid w:val="0015760F"/>
    <w:pPr>
      <w:spacing w:after="0"/>
      <w:ind w:left="440" w:hanging="220"/>
    </w:pPr>
    <w:rPr>
      <w:sz w:val="18"/>
    </w:rPr>
  </w:style>
  <w:style w:type="paragraph" w:styleId="Index3">
    <w:name w:val="index 3"/>
    <w:basedOn w:val="Normal"/>
    <w:next w:val="Normal"/>
    <w:autoRedefine/>
    <w:uiPriority w:val="99"/>
    <w:unhideWhenUsed/>
    <w:rsid w:val="0015760F"/>
    <w:pPr>
      <w:spacing w:after="0"/>
      <w:ind w:left="660" w:hanging="220"/>
    </w:pPr>
    <w:rPr>
      <w:sz w:val="18"/>
    </w:rPr>
  </w:style>
  <w:style w:type="paragraph" w:styleId="Index4">
    <w:name w:val="index 4"/>
    <w:basedOn w:val="Normal"/>
    <w:next w:val="Normal"/>
    <w:autoRedefine/>
    <w:uiPriority w:val="99"/>
    <w:unhideWhenUsed/>
    <w:rsid w:val="0015760F"/>
    <w:pPr>
      <w:spacing w:after="0"/>
      <w:ind w:left="880" w:hanging="220"/>
    </w:pPr>
    <w:rPr>
      <w:sz w:val="18"/>
    </w:rPr>
  </w:style>
  <w:style w:type="paragraph" w:styleId="Index5">
    <w:name w:val="index 5"/>
    <w:basedOn w:val="Normal"/>
    <w:next w:val="Normal"/>
    <w:autoRedefine/>
    <w:uiPriority w:val="99"/>
    <w:unhideWhenUsed/>
    <w:rsid w:val="0015760F"/>
    <w:pPr>
      <w:spacing w:after="0"/>
      <w:ind w:left="1100" w:hanging="220"/>
    </w:pPr>
    <w:rPr>
      <w:sz w:val="18"/>
    </w:rPr>
  </w:style>
  <w:style w:type="paragraph" w:styleId="Index6">
    <w:name w:val="index 6"/>
    <w:basedOn w:val="Normal"/>
    <w:next w:val="Normal"/>
    <w:autoRedefine/>
    <w:uiPriority w:val="99"/>
    <w:unhideWhenUsed/>
    <w:rsid w:val="0015760F"/>
    <w:pPr>
      <w:spacing w:after="0"/>
      <w:ind w:left="1320" w:hanging="220"/>
    </w:pPr>
    <w:rPr>
      <w:sz w:val="18"/>
    </w:rPr>
  </w:style>
  <w:style w:type="paragraph" w:styleId="Index7">
    <w:name w:val="index 7"/>
    <w:basedOn w:val="Normal"/>
    <w:next w:val="Normal"/>
    <w:autoRedefine/>
    <w:uiPriority w:val="99"/>
    <w:unhideWhenUsed/>
    <w:rsid w:val="0015760F"/>
    <w:pPr>
      <w:spacing w:after="0"/>
      <w:ind w:left="1540" w:hanging="220"/>
    </w:pPr>
    <w:rPr>
      <w:sz w:val="18"/>
    </w:rPr>
  </w:style>
  <w:style w:type="paragraph" w:styleId="Index8">
    <w:name w:val="index 8"/>
    <w:basedOn w:val="Normal"/>
    <w:next w:val="Normal"/>
    <w:autoRedefine/>
    <w:uiPriority w:val="99"/>
    <w:unhideWhenUsed/>
    <w:rsid w:val="0015760F"/>
    <w:pPr>
      <w:spacing w:after="0"/>
      <w:ind w:left="1760" w:hanging="220"/>
    </w:pPr>
    <w:rPr>
      <w:sz w:val="18"/>
    </w:rPr>
  </w:style>
  <w:style w:type="paragraph" w:styleId="Index9">
    <w:name w:val="index 9"/>
    <w:basedOn w:val="Normal"/>
    <w:next w:val="Normal"/>
    <w:autoRedefine/>
    <w:uiPriority w:val="99"/>
    <w:unhideWhenUsed/>
    <w:rsid w:val="0015760F"/>
    <w:pPr>
      <w:spacing w:after="0"/>
      <w:ind w:left="1980" w:hanging="220"/>
    </w:pPr>
    <w:rPr>
      <w:sz w:val="18"/>
    </w:rPr>
  </w:style>
  <w:style w:type="paragraph" w:styleId="Titreindex">
    <w:name w:val="index heading"/>
    <w:basedOn w:val="Normal"/>
    <w:next w:val="Index1"/>
    <w:uiPriority w:val="99"/>
    <w:unhideWhenUsed/>
    <w:rsid w:val="0015760F"/>
    <w:pPr>
      <w:spacing w:before="240" w:after="120"/>
      <w:jc w:val="center"/>
    </w:pPr>
    <w:rPr>
      <w:b/>
      <w:sz w:val="26"/>
      <w:szCs w:val="26"/>
    </w:rPr>
  </w:style>
  <w:style w:type="paragraph" w:styleId="TM1">
    <w:name w:val="toc 1"/>
    <w:basedOn w:val="Normal"/>
    <w:next w:val="Normal"/>
    <w:autoRedefine/>
    <w:uiPriority w:val="39"/>
    <w:unhideWhenUsed/>
    <w:rsid w:val="00644CBB"/>
    <w:pPr>
      <w:spacing w:after="100"/>
    </w:pPr>
    <w:rPr>
      <w:rFonts w:ascii="Garamond" w:hAnsi="Garamond"/>
    </w:rPr>
  </w:style>
  <w:style w:type="paragraph" w:styleId="TM2">
    <w:name w:val="toc 2"/>
    <w:basedOn w:val="Normal"/>
    <w:next w:val="Normal"/>
    <w:autoRedefine/>
    <w:uiPriority w:val="39"/>
    <w:unhideWhenUsed/>
    <w:rsid w:val="00644CBB"/>
    <w:pPr>
      <w:spacing w:after="100"/>
      <w:ind w:left="220"/>
    </w:pPr>
    <w:rPr>
      <w:rFonts w:ascii="Garamond" w:hAnsi="Garamond"/>
    </w:rPr>
  </w:style>
  <w:style w:type="character" w:styleId="Lienhypertexte">
    <w:name w:val="Hyperlink"/>
    <w:basedOn w:val="Policepardfaut"/>
    <w:uiPriority w:val="99"/>
    <w:unhideWhenUsed/>
    <w:rsid w:val="0015760F"/>
    <w:rPr>
      <w:color w:val="0000FF" w:themeColor="hyperlink"/>
      <w:u w:val="single"/>
    </w:rPr>
  </w:style>
  <w:style w:type="paragraph" w:styleId="En-tte">
    <w:name w:val="header"/>
    <w:basedOn w:val="Normal"/>
    <w:link w:val="En-tteCar"/>
    <w:uiPriority w:val="99"/>
    <w:semiHidden/>
    <w:unhideWhenUsed/>
    <w:rsid w:val="00A5239B"/>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A5239B"/>
  </w:style>
  <w:style w:type="paragraph" w:styleId="Pieddepage">
    <w:name w:val="footer"/>
    <w:basedOn w:val="Normal"/>
    <w:link w:val="PieddepageCar"/>
    <w:uiPriority w:val="99"/>
    <w:unhideWhenUsed/>
    <w:rsid w:val="00A5239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5239B"/>
  </w:style>
  <w:style w:type="character" w:customStyle="1" w:styleId="Titre3Car">
    <w:name w:val="Titre 3 Car"/>
    <w:basedOn w:val="Policepardfaut"/>
    <w:link w:val="Titre3"/>
    <w:uiPriority w:val="9"/>
    <w:rsid w:val="008258A7"/>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8258A7"/>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8258A7"/>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8258A7"/>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8258A7"/>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8258A7"/>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8258A7"/>
    <w:rPr>
      <w:rFonts w:asciiTheme="majorHAnsi" w:eastAsiaTheme="majorEastAsia" w:hAnsiTheme="majorHAnsi" w:cstheme="majorBidi"/>
      <w:i/>
      <w:iCs/>
      <w:color w:val="404040" w:themeColor="text1" w:themeTint="BF"/>
      <w:sz w:val="20"/>
      <w:szCs w:val="20"/>
    </w:rPr>
  </w:style>
  <w:style w:type="paragraph" w:styleId="Notedefin">
    <w:name w:val="endnote text"/>
    <w:basedOn w:val="Normal"/>
    <w:link w:val="NotedefinCar"/>
    <w:uiPriority w:val="99"/>
    <w:semiHidden/>
    <w:unhideWhenUsed/>
    <w:rsid w:val="005C33DF"/>
    <w:pPr>
      <w:spacing w:after="0" w:line="240" w:lineRule="auto"/>
    </w:pPr>
    <w:rPr>
      <w:sz w:val="20"/>
      <w:szCs w:val="20"/>
    </w:rPr>
  </w:style>
  <w:style w:type="character" w:customStyle="1" w:styleId="NotedefinCar">
    <w:name w:val="Note de fin Car"/>
    <w:basedOn w:val="Policepardfaut"/>
    <w:link w:val="Notedefin"/>
    <w:uiPriority w:val="99"/>
    <w:semiHidden/>
    <w:rsid w:val="005C33DF"/>
    <w:rPr>
      <w:sz w:val="20"/>
      <w:szCs w:val="20"/>
    </w:rPr>
  </w:style>
  <w:style w:type="character" w:styleId="Appeldenotedefin">
    <w:name w:val="endnote reference"/>
    <w:basedOn w:val="Policepardfaut"/>
    <w:uiPriority w:val="99"/>
    <w:semiHidden/>
    <w:unhideWhenUsed/>
    <w:rsid w:val="005C33DF"/>
    <w:rPr>
      <w:vertAlign w:val="superscript"/>
    </w:rPr>
  </w:style>
  <w:style w:type="paragraph" w:styleId="Notedebasdepage">
    <w:name w:val="footnote text"/>
    <w:aliases w:val=" Car,Car,single space,FOOTNOTES,fn,ALTS FOOTNOTE,Note de bas de page2,Note de bas de page Car Car Car,Note de bas de page Car Car,Note de bas de page Car Car Car2,Note de bas de page Car Car Car3,Note de bas de page Car Car Car4"/>
    <w:basedOn w:val="Normal"/>
    <w:link w:val="NotedebasdepageCar"/>
    <w:uiPriority w:val="99"/>
    <w:unhideWhenUsed/>
    <w:rsid w:val="005C33DF"/>
    <w:pPr>
      <w:spacing w:after="0" w:line="240" w:lineRule="auto"/>
    </w:pPr>
    <w:rPr>
      <w:sz w:val="20"/>
      <w:szCs w:val="20"/>
    </w:rPr>
  </w:style>
  <w:style w:type="character" w:customStyle="1" w:styleId="NotedebasdepageCar">
    <w:name w:val="Note de bas de page Car"/>
    <w:aliases w:val=" Car Car,Car Car,single space Car,FOOTNOTES Car,fn Car,ALTS FOOTNOTE Car,Note de bas de page2 Car,Note de bas de page Car Car Car Car,Note de bas de page Car Car Car1,Note de bas de page Car Car Car2 Car"/>
    <w:basedOn w:val="Policepardfaut"/>
    <w:link w:val="Notedebasdepage"/>
    <w:uiPriority w:val="99"/>
    <w:rsid w:val="005C33DF"/>
    <w:rPr>
      <w:sz w:val="20"/>
      <w:szCs w:val="20"/>
    </w:rPr>
  </w:style>
  <w:style w:type="character" w:styleId="Appelnotedebasdep">
    <w:name w:val="footnote reference"/>
    <w:aliases w:val="ftref,Char Char Char Char Car Char,Ref,de nota al pie,16 Point,Superscript 6 Point, BVI fnr"/>
    <w:basedOn w:val="Policepardfaut"/>
    <w:uiPriority w:val="99"/>
    <w:semiHidden/>
    <w:unhideWhenUsed/>
    <w:rsid w:val="005C33DF"/>
    <w:rPr>
      <w:vertAlign w:val="superscript"/>
    </w:rPr>
  </w:style>
  <w:style w:type="paragraph" w:styleId="NormalWeb">
    <w:name w:val="Normal (Web)"/>
    <w:basedOn w:val="Normal"/>
    <w:unhideWhenUsed/>
    <w:rsid w:val="00474EAB"/>
    <w:pPr>
      <w:spacing w:before="100" w:beforeAutospacing="1" w:after="100" w:afterAutospacing="1" w:line="240" w:lineRule="auto"/>
    </w:pPr>
    <w:rPr>
      <w:rFonts w:eastAsia="Times New Roman" w:cs="Times New Roman"/>
      <w:sz w:val="24"/>
      <w:szCs w:val="24"/>
    </w:rPr>
  </w:style>
  <w:style w:type="paragraph" w:customStyle="1" w:styleId="Default">
    <w:name w:val="Default"/>
    <w:rsid w:val="00AF1B2B"/>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1"/>
    <w:basedOn w:val="Titre1"/>
    <w:link w:val="Style1Car"/>
    <w:qFormat/>
    <w:rsid w:val="00E123C6"/>
    <w:pPr>
      <w:numPr>
        <w:numId w:val="4"/>
      </w:numPr>
    </w:pPr>
    <w:rPr>
      <w:szCs w:val="36"/>
    </w:rPr>
  </w:style>
  <w:style w:type="paragraph" w:customStyle="1" w:styleId="Style2">
    <w:name w:val="Style2"/>
    <w:basedOn w:val="Titre2"/>
    <w:link w:val="Style2Car"/>
    <w:qFormat/>
    <w:rsid w:val="00E123C6"/>
    <w:pPr>
      <w:numPr>
        <w:ilvl w:val="1"/>
        <w:numId w:val="5"/>
      </w:numPr>
    </w:pPr>
  </w:style>
  <w:style w:type="character" w:customStyle="1" w:styleId="Style1Car">
    <w:name w:val="Style1 Car"/>
    <w:basedOn w:val="Titre1Car"/>
    <w:link w:val="Style1"/>
    <w:rsid w:val="00E123C6"/>
    <w:rPr>
      <w:rFonts w:ascii="Garamond" w:eastAsiaTheme="majorEastAsia" w:hAnsi="Garamond" w:cstheme="majorBidi"/>
      <w:b/>
      <w:bCs/>
      <w:sz w:val="36"/>
      <w:szCs w:val="36"/>
    </w:rPr>
  </w:style>
  <w:style w:type="character" w:customStyle="1" w:styleId="Style2Car">
    <w:name w:val="Style2 Car"/>
    <w:basedOn w:val="Titre2Car"/>
    <w:link w:val="Style2"/>
    <w:rsid w:val="00E123C6"/>
    <w:rPr>
      <w:rFonts w:ascii="Garamond" w:eastAsiaTheme="majorEastAsia" w:hAnsi="Garamond" w:cstheme="majorBidi"/>
      <w:b/>
      <w:bCs/>
      <w:sz w:val="28"/>
      <w:szCs w:val="26"/>
    </w:rPr>
  </w:style>
  <w:style w:type="paragraph" w:styleId="Lgende">
    <w:name w:val="caption"/>
    <w:basedOn w:val="Normal"/>
    <w:next w:val="Normal"/>
    <w:uiPriority w:val="35"/>
    <w:unhideWhenUsed/>
    <w:qFormat/>
    <w:rsid w:val="002237AF"/>
    <w:pPr>
      <w:spacing w:after="120" w:line="240" w:lineRule="auto"/>
      <w:jc w:val="center"/>
    </w:pPr>
    <w:rPr>
      <w:bCs w:val="0"/>
    </w:rPr>
  </w:style>
  <w:style w:type="paragraph" w:styleId="Tabledesillustrations">
    <w:name w:val="table of figures"/>
    <w:basedOn w:val="Normal"/>
    <w:next w:val="Normal"/>
    <w:uiPriority w:val="99"/>
    <w:unhideWhenUsed/>
    <w:rsid w:val="00176EC3"/>
    <w:pPr>
      <w:spacing w:after="0"/>
    </w:pPr>
  </w:style>
  <w:style w:type="paragraph" w:customStyle="1" w:styleId="indent">
    <w:name w:val="indent"/>
    <w:basedOn w:val="Normal"/>
    <w:rsid w:val="00D37FD7"/>
    <w:pPr>
      <w:keepNext w:val="0"/>
      <w:spacing w:before="100" w:beforeAutospacing="1" w:after="240" w:line="240" w:lineRule="auto"/>
      <w:ind w:left="225"/>
      <w:jc w:val="left"/>
    </w:pPr>
    <w:rPr>
      <w:rFonts w:ascii="Arial" w:eastAsia="Times New Roman" w:hAnsi="Arial" w:cs="Arial"/>
      <w:bCs w:val="0"/>
      <w:color w:val="666666"/>
      <w:sz w:val="18"/>
      <w:lang w:val="fr-CH" w:eastAsia="fr-CH"/>
    </w:rPr>
  </w:style>
  <w:style w:type="character" w:customStyle="1" w:styleId="spipsurligne1">
    <w:name w:val="spip_surligne1"/>
    <w:basedOn w:val="Policepardfaut"/>
    <w:rsid w:val="00D37FD7"/>
    <w:rPr>
      <w:shd w:val="clear" w:color="auto" w:fill="FFFF66"/>
    </w:rPr>
  </w:style>
  <w:style w:type="character" w:styleId="Marquedecommentaire">
    <w:name w:val="annotation reference"/>
    <w:basedOn w:val="Policepardfaut"/>
    <w:uiPriority w:val="99"/>
    <w:semiHidden/>
    <w:unhideWhenUsed/>
    <w:rsid w:val="00647AB5"/>
    <w:rPr>
      <w:sz w:val="16"/>
      <w:szCs w:val="16"/>
    </w:rPr>
  </w:style>
  <w:style w:type="paragraph" w:styleId="Commentaire">
    <w:name w:val="annotation text"/>
    <w:basedOn w:val="Normal"/>
    <w:link w:val="CommentaireCar"/>
    <w:uiPriority w:val="99"/>
    <w:unhideWhenUsed/>
    <w:rsid w:val="00E471EF"/>
    <w:pPr>
      <w:spacing w:line="240" w:lineRule="auto"/>
    </w:pPr>
    <w:rPr>
      <w:sz w:val="20"/>
      <w:szCs w:val="20"/>
    </w:rPr>
  </w:style>
  <w:style w:type="character" w:customStyle="1" w:styleId="CommentaireCar">
    <w:name w:val="Commentaire Car"/>
    <w:basedOn w:val="Policepardfaut"/>
    <w:link w:val="Commentaire"/>
    <w:uiPriority w:val="99"/>
    <w:rsid w:val="00E471EF"/>
    <w:rPr>
      <w:rFonts w:ascii="Times New Roman" w:hAnsi="Times New Roman"/>
      <w:bCs/>
      <w:sz w:val="20"/>
      <w:szCs w:val="20"/>
    </w:rPr>
  </w:style>
  <w:style w:type="paragraph" w:styleId="Objetducommentaire">
    <w:name w:val="annotation subject"/>
    <w:basedOn w:val="Commentaire"/>
    <w:next w:val="Commentaire"/>
    <w:link w:val="ObjetducommentaireCar"/>
    <w:uiPriority w:val="99"/>
    <w:semiHidden/>
    <w:unhideWhenUsed/>
    <w:rsid w:val="00EE6DC6"/>
    <w:rPr>
      <w:b/>
    </w:rPr>
  </w:style>
  <w:style w:type="character" w:customStyle="1" w:styleId="ObjetducommentaireCar">
    <w:name w:val="Objet du commentaire Car"/>
    <w:basedOn w:val="CommentaireCar"/>
    <w:link w:val="Objetducommentaire"/>
    <w:uiPriority w:val="99"/>
    <w:semiHidden/>
    <w:rsid w:val="00EE6DC6"/>
    <w:rPr>
      <w:rFonts w:ascii="Times New Roman" w:hAnsi="Times New Roman"/>
      <w:b/>
      <w:bCs/>
      <w:sz w:val="20"/>
      <w:szCs w:val="20"/>
    </w:rPr>
  </w:style>
  <w:style w:type="paragraph" w:styleId="Rvision">
    <w:name w:val="Revision"/>
    <w:hidden/>
    <w:uiPriority w:val="99"/>
    <w:semiHidden/>
    <w:rsid w:val="00C41287"/>
    <w:pPr>
      <w:spacing w:after="0" w:line="240" w:lineRule="auto"/>
    </w:pPr>
    <w:rPr>
      <w:rFonts w:ascii="Times New Roman" w:hAnsi="Times New Roman"/>
      <w:bCs/>
    </w:rPr>
  </w:style>
</w:styles>
</file>

<file path=word/webSettings.xml><?xml version="1.0" encoding="utf-8"?>
<w:webSettings xmlns:r="http://schemas.openxmlformats.org/officeDocument/2006/relationships" xmlns:w="http://schemas.openxmlformats.org/wordprocessingml/2006/main">
  <w:divs>
    <w:div w:id="75513745">
      <w:bodyDiv w:val="1"/>
      <w:marLeft w:val="0"/>
      <w:marRight w:val="0"/>
      <w:marTop w:val="0"/>
      <w:marBottom w:val="0"/>
      <w:divBdr>
        <w:top w:val="none" w:sz="0" w:space="0" w:color="auto"/>
        <w:left w:val="none" w:sz="0" w:space="0" w:color="auto"/>
        <w:bottom w:val="none" w:sz="0" w:space="0" w:color="auto"/>
        <w:right w:val="none" w:sz="0" w:space="0" w:color="auto"/>
      </w:divBdr>
    </w:div>
    <w:div w:id="78525495">
      <w:bodyDiv w:val="1"/>
      <w:marLeft w:val="0"/>
      <w:marRight w:val="0"/>
      <w:marTop w:val="0"/>
      <w:marBottom w:val="0"/>
      <w:divBdr>
        <w:top w:val="none" w:sz="0" w:space="0" w:color="auto"/>
        <w:left w:val="none" w:sz="0" w:space="0" w:color="auto"/>
        <w:bottom w:val="none" w:sz="0" w:space="0" w:color="auto"/>
        <w:right w:val="none" w:sz="0" w:space="0" w:color="auto"/>
      </w:divBdr>
    </w:div>
    <w:div w:id="139812238">
      <w:bodyDiv w:val="1"/>
      <w:marLeft w:val="0"/>
      <w:marRight w:val="0"/>
      <w:marTop w:val="0"/>
      <w:marBottom w:val="0"/>
      <w:divBdr>
        <w:top w:val="none" w:sz="0" w:space="0" w:color="auto"/>
        <w:left w:val="none" w:sz="0" w:space="0" w:color="auto"/>
        <w:bottom w:val="none" w:sz="0" w:space="0" w:color="auto"/>
        <w:right w:val="none" w:sz="0" w:space="0" w:color="auto"/>
      </w:divBdr>
    </w:div>
    <w:div w:id="216940019">
      <w:bodyDiv w:val="1"/>
      <w:marLeft w:val="0"/>
      <w:marRight w:val="0"/>
      <w:marTop w:val="0"/>
      <w:marBottom w:val="0"/>
      <w:divBdr>
        <w:top w:val="none" w:sz="0" w:space="0" w:color="auto"/>
        <w:left w:val="none" w:sz="0" w:space="0" w:color="auto"/>
        <w:bottom w:val="none" w:sz="0" w:space="0" w:color="auto"/>
        <w:right w:val="none" w:sz="0" w:space="0" w:color="auto"/>
      </w:divBdr>
    </w:div>
    <w:div w:id="225843322">
      <w:bodyDiv w:val="1"/>
      <w:marLeft w:val="0"/>
      <w:marRight w:val="0"/>
      <w:marTop w:val="0"/>
      <w:marBottom w:val="0"/>
      <w:divBdr>
        <w:top w:val="none" w:sz="0" w:space="0" w:color="auto"/>
        <w:left w:val="none" w:sz="0" w:space="0" w:color="auto"/>
        <w:bottom w:val="none" w:sz="0" w:space="0" w:color="auto"/>
        <w:right w:val="none" w:sz="0" w:space="0" w:color="auto"/>
      </w:divBdr>
    </w:div>
    <w:div w:id="227225695">
      <w:bodyDiv w:val="1"/>
      <w:marLeft w:val="0"/>
      <w:marRight w:val="0"/>
      <w:marTop w:val="0"/>
      <w:marBottom w:val="0"/>
      <w:divBdr>
        <w:top w:val="none" w:sz="0" w:space="0" w:color="auto"/>
        <w:left w:val="none" w:sz="0" w:space="0" w:color="auto"/>
        <w:bottom w:val="none" w:sz="0" w:space="0" w:color="auto"/>
        <w:right w:val="none" w:sz="0" w:space="0" w:color="auto"/>
      </w:divBdr>
    </w:div>
    <w:div w:id="257565501">
      <w:bodyDiv w:val="1"/>
      <w:marLeft w:val="0"/>
      <w:marRight w:val="0"/>
      <w:marTop w:val="0"/>
      <w:marBottom w:val="0"/>
      <w:divBdr>
        <w:top w:val="none" w:sz="0" w:space="0" w:color="auto"/>
        <w:left w:val="none" w:sz="0" w:space="0" w:color="auto"/>
        <w:bottom w:val="none" w:sz="0" w:space="0" w:color="auto"/>
        <w:right w:val="none" w:sz="0" w:space="0" w:color="auto"/>
      </w:divBdr>
    </w:div>
    <w:div w:id="283777761">
      <w:bodyDiv w:val="1"/>
      <w:marLeft w:val="0"/>
      <w:marRight w:val="0"/>
      <w:marTop w:val="0"/>
      <w:marBottom w:val="0"/>
      <w:divBdr>
        <w:top w:val="single" w:sz="6" w:space="0" w:color="FFFFFF"/>
        <w:left w:val="none" w:sz="0" w:space="0" w:color="auto"/>
        <w:bottom w:val="none" w:sz="0" w:space="0" w:color="auto"/>
        <w:right w:val="none" w:sz="0" w:space="0" w:color="auto"/>
      </w:divBdr>
      <w:divsChild>
        <w:div w:id="87967516">
          <w:marLeft w:val="0"/>
          <w:marRight w:val="0"/>
          <w:marTop w:val="0"/>
          <w:marBottom w:val="0"/>
          <w:divBdr>
            <w:top w:val="single" w:sz="48" w:space="0" w:color="666666"/>
            <w:left w:val="single" w:sz="48" w:space="0" w:color="666666"/>
            <w:bottom w:val="single" w:sz="48" w:space="0" w:color="666666"/>
            <w:right w:val="single" w:sz="48" w:space="0" w:color="666666"/>
          </w:divBdr>
          <w:divsChild>
            <w:div w:id="996031929">
              <w:marLeft w:val="150"/>
              <w:marRight w:val="225"/>
              <w:marTop w:val="150"/>
              <w:marBottom w:val="0"/>
              <w:divBdr>
                <w:top w:val="none" w:sz="0" w:space="0" w:color="auto"/>
                <w:left w:val="none" w:sz="0" w:space="0" w:color="auto"/>
                <w:bottom w:val="none" w:sz="0" w:space="0" w:color="auto"/>
                <w:right w:val="none" w:sz="0" w:space="0" w:color="auto"/>
              </w:divBdr>
            </w:div>
          </w:divsChild>
        </w:div>
      </w:divsChild>
    </w:div>
    <w:div w:id="291330004">
      <w:bodyDiv w:val="1"/>
      <w:marLeft w:val="0"/>
      <w:marRight w:val="0"/>
      <w:marTop w:val="0"/>
      <w:marBottom w:val="0"/>
      <w:divBdr>
        <w:top w:val="none" w:sz="0" w:space="0" w:color="auto"/>
        <w:left w:val="none" w:sz="0" w:space="0" w:color="auto"/>
        <w:bottom w:val="none" w:sz="0" w:space="0" w:color="auto"/>
        <w:right w:val="none" w:sz="0" w:space="0" w:color="auto"/>
      </w:divBdr>
    </w:div>
    <w:div w:id="328607088">
      <w:bodyDiv w:val="1"/>
      <w:marLeft w:val="0"/>
      <w:marRight w:val="0"/>
      <w:marTop w:val="0"/>
      <w:marBottom w:val="0"/>
      <w:divBdr>
        <w:top w:val="none" w:sz="0" w:space="0" w:color="auto"/>
        <w:left w:val="none" w:sz="0" w:space="0" w:color="auto"/>
        <w:bottom w:val="none" w:sz="0" w:space="0" w:color="auto"/>
        <w:right w:val="none" w:sz="0" w:space="0" w:color="auto"/>
      </w:divBdr>
    </w:div>
    <w:div w:id="369304726">
      <w:bodyDiv w:val="1"/>
      <w:marLeft w:val="0"/>
      <w:marRight w:val="0"/>
      <w:marTop w:val="0"/>
      <w:marBottom w:val="0"/>
      <w:divBdr>
        <w:top w:val="none" w:sz="0" w:space="0" w:color="auto"/>
        <w:left w:val="none" w:sz="0" w:space="0" w:color="auto"/>
        <w:bottom w:val="none" w:sz="0" w:space="0" w:color="auto"/>
        <w:right w:val="none" w:sz="0" w:space="0" w:color="auto"/>
      </w:divBdr>
    </w:div>
    <w:div w:id="442504499">
      <w:bodyDiv w:val="1"/>
      <w:marLeft w:val="0"/>
      <w:marRight w:val="0"/>
      <w:marTop w:val="0"/>
      <w:marBottom w:val="0"/>
      <w:divBdr>
        <w:top w:val="none" w:sz="0" w:space="0" w:color="auto"/>
        <w:left w:val="none" w:sz="0" w:space="0" w:color="auto"/>
        <w:bottom w:val="none" w:sz="0" w:space="0" w:color="auto"/>
        <w:right w:val="none" w:sz="0" w:space="0" w:color="auto"/>
      </w:divBdr>
    </w:div>
    <w:div w:id="473915302">
      <w:bodyDiv w:val="1"/>
      <w:marLeft w:val="0"/>
      <w:marRight w:val="0"/>
      <w:marTop w:val="0"/>
      <w:marBottom w:val="0"/>
      <w:divBdr>
        <w:top w:val="none" w:sz="0" w:space="0" w:color="auto"/>
        <w:left w:val="none" w:sz="0" w:space="0" w:color="auto"/>
        <w:bottom w:val="none" w:sz="0" w:space="0" w:color="auto"/>
        <w:right w:val="none" w:sz="0" w:space="0" w:color="auto"/>
      </w:divBdr>
      <w:divsChild>
        <w:div w:id="1088189856">
          <w:marLeft w:val="0"/>
          <w:marRight w:val="0"/>
          <w:marTop w:val="0"/>
          <w:marBottom w:val="0"/>
          <w:divBdr>
            <w:top w:val="none" w:sz="0" w:space="0" w:color="auto"/>
            <w:left w:val="none" w:sz="0" w:space="0" w:color="auto"/>
            <w:bottom w:val="none" w:sz="0" w:space="0" w:color="auto"/>
            <w:right w:val="none" w:sz="0" w:space="0" w:color="auto"/>
          </w:divBdr>
          <w:divsChild>
            <w:div w:id="94538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7292">
      <w:bodyDiv w:val="1"/>
      <w:marLeft w:val="0"/>
      <w:marRight w:val="0"/>
      <w:marTop w:val="0"/>
      <w:marBottom w:val="0"/>
      <w:divBdr>
        <w:top w:val="single" w:sz="6" w:space="0" w:color="FFFFFF"/>
        <w:left w:val="none" w:sz="0" w:space="0" w:color="auto"/>
        <w:bottom w:val="none" w:sz="0" w:space="0" w:color="auto"/>
        <w:right w:val="none" w:sz="0" w:space="0" w:color="auto"/>
      </w:divBdr>
      <w:divsChild>
        <w:div w:id="16588533">
          <w:marLeft w:val="0"/>
          <w:marRight w:val="0"/>
          <w:marTop w:val="0"/>
          <w:marBottom w:val="0"/>
          <w:divBdr>
            <w:top w:val="single" w:sz="48" w:space="0" w:color="666666"/>
            <w:left w:val="single" w:sz="48" w:space="0" w:color="666666"/>
            <w:bottom w:val="single" w:sz="48" w:space="0" w:color="666666"/>
            <w:right w:val="single" w:sz="48" w:space="0" w:color="666666"/>
          </w:divBdr>
          <w:divsChild>
            <w:div w:id="1772554881">
              <w:marLeft w:val="150"/>
              <w:marRight w:val="225"/>
              <w:marTop w:val="150"/>
              <w:marBottom w:val="0"/>
              <w:divBdr>
                <w:top w:val="none" w:sz="0" w:space="0" w:color="auto"/>
                <w:left w:val="none" w:sz="0" w:space="0" w:color="auto"/>
                <w:bottom w:val="none" w:sz="0" w:space="0" w:color="auto"/>
                <w:right w:val="none" w:sz="0" w:space="0" w:color="auto"/>
              </w:divBdr>
            </w:div>
          </w:divsChild>
        </w:div>
      </w:divsChild>
    </w:div>
    <w:div w:id="510142362">
      <w:bodyDiv w:val="1"/>
      <w:marLeft w:val="0"/>
      <w:marRight w:val="0"/>
      <w:marTop w:val="0"/>
      <w:marBottom w:val="0"/>
      <w:divBdr>
        <w:top w:val="none" w:sz="0" w:space="0" w:color="auto"/>
        <w:left w:val="none" w:sz="0" w:space="0" w:color="auto"/>
        <w:bottom w:val="none" w:sz="0" w:space="0" w:color="auto"/>
        <w:right w:val="none" w:sz="0" w:space="0" w:color="auto"/>
      </w:divBdr>
    </w:div>
    <w:div w:id="583532825">
      <w:bodyDiv w:val="1"/>
      <w:marLeft w:val="0"/>
      <w:marRight w:val="0"/>
      <w:marTop w:val="0"/>
      <w:marBottom w:val="0"/>
      <w:divBdr>
        <w:top w:val="none" w:sz="0" w:space="0" w:color="auto"/>
        <w:left w:val="none" w:sz="0" w:space="0" w:color="auto"/>
        <w:bottom w:val="none" w:sz="0" w:space="0" w:color="auto"/>
        <w:right w:val="none" w:sz="0" w:space="0" w:color="auto"/>
      </w:divBdr>
    </w:div>
    <w:div w:id="587924323">
      <w:bodyDiv w:val="1"/>
      <w:marLeft w:val="0"/>
      <w:marRight w:val="0"/>
      <w:marTop w:val="0"/>
      <w:marBottom w:val="0"/>
      <w:divBdr>
        <w:top w:val="none" w:sz="0" w:space="0" w:color="auto"/>
        <w:left w:val="none" w:sz="0" w:space="0" w:color="auto"/>
        <w:bottom w:val="none" w:sz="0" w:space="0" w:color="auto"/>
        <w:right w:val="none" w:sz="0" w:space="0" w:color="auto"/>
      </w:divBdr>
    </w:div>
    <w:div w:id="643857853">
      <w:bodyDiv w:val="1"/>
      <w:marLeft w:val="0"/>
      <w:marRight w:val="0"/>
      <w:marTop w:val="0"/>
      <w:marBottom w:val="0"/>
      <w:divBdr>
        <w:top w:val="none" w:sz="0" w:space="0" w:color="auto"/>
        <w:left w:val="none" w:sz="0" w:space="0" w:color="auto"/>
        <w:bottom w:val="none" w:sz="0" w:space="0" w:color="auto"/>
        <w:right w:val="none" w:sz="0" w:space="0" w:color="auto"/>
      </w:divBdr>
    </w:div>
    <w:div w:id="667320169">
      <w:bodyDiv w:val="1"/>
      <w:marLeft w:val="0"/>
      <w:marRight w:val="0"/>
      <w:marTop w:val="0"/>
      <w:marBottom w:val="0"/>
      <w:divBdr>
        <w:top w:val="none" w:sz="0" w:space="0" w:color="auto"/>
        <w:left w:val="none" w:sz="0" w:space="0" w:color="auto"/>
        <w:bottom w:val="none" w:sz="0" w:space="0" w:color="auto"/>
        <w:right w:val="none" w:sz="0" w:space="0" w:color="auto"/>
      </w:divBdr>
    </w:div>
    <w:div w:id="776604518">
      <w:bodyDiv w:val="1"/>
      <w:marLeft w:val="0"/>
      <w:marRight w:val="0"/>
      <w:marTop w:val="0"/>
      <w:marBottom w:val="0"/>
      <w:divBdr>
        <w:top w:val="none" w:sz="0" w:space="0" w:color="auto"/>
        <w:left w:val="none" w:sz="0" w:space="0" w:color="auto"/>
        <w:bottom w:val="none" w:sz="0" w:space="0" w:color="auto"/>
        <w:right w:val="none" w:sz="0" w:space="0" w:color="auto"/>
      </w:divBdr>
      <w:divsChild>
        <w:div w:id="1813675001">
          <w:marLeft w:val="0"/>
          <w:marRight w:val="0"/>
          <w:marTop w:val="0"/>
          <w:marBottom w:val="0"/>
          <w:divBdr>
            <w:top w:val="none" w:sz="0" w:space="0" w:color="auto"/>
            <w:left w:val="none" w:sz="0" w:space="0" w:color="auto"/>
            <w:bottom w:val="none" w:sz="0" w:space="0" w:color="auto"/>
            <w:right w:val="none" w:sz="0" w:space="0" w:color="auto"/>
          </w:divBdr>
          <w:divsChild>
            <w:div w:id="38743389">
              <w:marLeft w:val="0"/>
              <w:marRight w:val="0"/>
              <w:marTop w:val="0"/>
              <w:marBottom w:val="0"/>
              <w:divBdr>
                <w:top w:val="none" w:sz="0" w:space="0" w:color="auto"/>
                <w:left w:val="none" w:sz="0" w:space="0" w:color="auto"/>
                <w:bottom w:val="none" w:sz="0" w:space="0" w:color="auto"/>
                <w:right w:val="none" w:sz="0" w:space="0" w:color="auto"/>
              </w:divBdr>
              <w:divsChild>
                <w:div w:id="1773353538">
                  <w:marLeft w:val="0"/>
                  <w:marRight w:val="0"/>
                  <w:marTop w:val="0"/>
                  <w:marBottom w:val="0"/>
                  <w:divBdr>
                    <w:top w:val="none" w:sz="0" w:space="0" w:color="auto"/>
                    <w:left w:val="none" w:sz="0" w:space="0" w:color="auto"/>
                    <w:bottom w:val="none" w:sz="0" w:space="0" w:color="auto"/>
                    <w:right w:val="none" w:sz="0" w:space="0" w:color="auto"/>
                  </w:divBdr>
                  <w:divsChild>
                    <w:div w:id="368997467">
                      <w:marLeft w:val="0"/>
                      <w:marRight w:val="0"/>
                      <w:marTop w:val="0"/>
                      <w:marBottom w:val="0"/>
                      <w:divBdr>
                        <w:top w:val="single" w:sz="24" w:space="0" w:color="E8E8E8"/>
                        <w:left w:val="none" w:sz="0" w:space="0" w:color="auto"/>
                        <w:bottom w:val="none" w:sz="0" w:space="0" w:color="auto"/>
                        <w:right w:val="none" w:sz="0" w:space="0" w:color="auto"/>
                      </w:divBdr>
                      <w:divsChild>
                        <w:div w:id="693463118">
                          <w:marLeft w:val="0"/>
                          <w:marRight w:val="5415"/>
                          <w:marTop w:val="0"/>
                          <w:marBottom w:val="0"/>
                          <w:divBdr>
                            <w:top w:val="none" w:sz="0" w:space="0" w:color="auto"/>
                            <w:left w:val="none" w:sz="0" w:space="0" w:color="auto"/>
                            <w:bottom w:val="none" w:sz="0" w:space="0" w:color="auto"/>
                            <w:right w:val="none" w:sz="0" w:space="0" w:color="auto"/>
                          </w:divBdr>
                          <w:divsChild>
                            <w:div w:id="1449816823">
                              <w:marLeft w:val="0"/>
                              <w:marRight w:val="0"/>
                              <w:marTop w:val="0"/>
                              <w:marBottom w:val="0"/>
                              <w:divBdr>
                                <w:top w:val="single" w:sz="6" w:space="0" w:color="9B9B9B"/>
                                <w:left w:val="none" w:sz="0" w:space="0" w:color="auto"/>
                                <w:bottom w:val="none" w:sz="0" w:space="0" w:color="auto"/>
                                <w:right w:val="none" w:sz="0" w:space="0" w:color="auto"/>
                              </w:divBdr>
                              <w:divsChild>
                                <w:div w:id="1293705205">
                                  <w:marLeft w:val="0"/>
                                  <w:marRight w:val="0"/>
                                  <w:marTop w:val="0"/>
                                  <w:marBottom w:val="0"/>
                                  <w:divBdr>
                                    <w:top w:val="single" w:sz="6" w:space="0" w:color="FFFFFF"/>
                                    <w:left w:val="none" w:sz="0" w:space="0" w:color="auto"/>
                                    <w:bottom w:val="none" w:sz="0" w:space="0" w:color="auto"/>
                                    <w:right w:val="none" w:sz="0" w:space="0" w:color="auto"/>
                                  </w:divBdr>
                                  <w:divsChild>
                                    <w:div w:id="649552945">
                                      <w:marLeft w:val="0"/>
                                      <w:marRight w:val="0"/>
                                      <w:marTop w:val="0"/>
                                      <w:marBottom w:val="0"/>
                                      <w:divBdr>
                                        <w:top w:val="none" w:sz="0" w:space="0" w:color="auto"/>
                                        <w:left w:val="none" w:sz="0" w:space="0" w:color="auto"/>
                                        <w:bottom w:val="none" w:sz="0" w:space="0" w:color="auto"/>
                                        <w:right w:val="none" w:sz="0" w:space="0" w:color="auto"/>
                                      </w:divBdr>
                                      <w:divsChild>
                                        <w:div w:id="1279097569">
                                          <w:marLeft w:val="0"/>
                                          <w:marRight w:val="0"/>
                                          <w:marTop w:val="0"/>
                                          <w:marBottom w:val="0"/>
                                          <w:divBdr>
                                            <w:top w:val="none" w:sz="0" w:space="0" w:color="auto"/>
                                            <w:left w:val="none" w:sz="0" w:space="0" w:color="auto"/>
                                            <w:bottom w:val="none" w:sz="0" w:space="0" w:color="auto"/>
                                            <w:right w:val="none" w:sz="0" w:space="0" w:color="auto"/>
                                          </w:divBdr>
                                          <w:divsChild>
                                            <w:div w:id="1179739912">
                                              <w:marLeft w:val="0"/>
                                              <w:marRight w:val="0"/>
                                              <w:marTop w:val="0"/>
                                              <w:marBottom w:val="0"/>
                                              <w:divBdr>
                                                <w:top w:val="none" w:sz="0" w:space="0" w:color="auto"/>
                                                <w:left w:val="none" w:sz="0" w:space="0" w:color="auto"/>
                                                <w:bottom w:val="none" w:sz="0" w:space="0" w:color="auto"/>
                                                <w:right w:val="none" w:sz="0" w:space="0" w:color="auto"/>
                                              </w:divBdr>
                                              <w:divsChild>
                                                <w:div w:id="203635284">
                                                  <w:marLeft w:val="45"/>
                                                  <w:marRight w:val="75"/>
                                                  <w:marTop w:val="0"/>
                                                  <w:marBottom w:val="0"/>
                                                  <w:divBdr>
                                                    <w:top w:val="none" w:sz="0" w:space="0" w:color="auto"/>
                                                    <w:left w:val="none" w:sz="0" w:space="0" w:color="auto"/>
                                                    <w:bottom w:val="none" w:sz="0" w:space="0" w:color="auto"/>
                                                    <w:right w:val="none" w:sz="0" w:space="0" w:color="auto"/>
                                                  </w:divBdr>
                                                  <w:divsChild>
                                                    <w:div w:id="1230924838">
                                                      <w:marLeft w:val="0"/>
                                                      <w:marRight w:val="0"/>
                                                      <w:marTop w:val="0"/>
                                                      <w:marBottom w:val="0"/>
                                                      <w:divBdr>
                                                        <w:top w:val="none" w:sz="0" w:space="0" w:color="auto"/>
                                                        <w:left w:val="none" w:sz="0" w:space="0" w:color="auto"/>
                                                        <w:bottom w:val="none" w:sz="0" w:space="0" w:color="auto"/>
                                                        <w:right w:val="none" w:sz="0" w:space="0" w:color="auto"/>
                                                      </w:divBdr>
                                                      <w:divsChild>
                                                        <w:div w:id="378016871">
                                                          <w:marLeft w:val="0"/>
                                                          <w:marRight w:val="-24000"/>
                                                          <w:marTop w:val="0"/>
                                                          <w:marBottom w:val="0"/>
                                                          <w:divBdr>
                                                            <w:top w:val="none" w:sz="0" w:space="0" w:color="auto"/>
                                                            <w:left w:val="none" w:sz="0" w:space="0" w:color="auto"/>
                                                            <w:bottom w:val="none" w:sz="0" w:space="0" w:color="auto"/>
                                                            <w:right w:val="none" w:sz="0" w:space="0" w:color="auto"/>
                                                          </w:divBdr>
                                                          <w:divsChild>
                                                            <w:div w:id="1702169551">
                                                              <w:marLeft w:val="0"/>
                                                              <w:marRight w:val="0"/>
                                                              <w:marTop w:val="0"/>
                                                              <w:marBottom w:val="0"/>
                                                              <w:divBdr>
                                                                <w:top w:val="none" w:sz="0" w:space="0" w:color="auto"/>
                                                                <w:left w:val="none" w:sz="0" w:space="0" w:color="auto"/>
                                                                <w:bottom w:val="none" w:sz="0" w:space="0" w:color="auto"/>
                                                                <w:right w:val="none" w:sz="0" w:space="0" w:color="auto"/>
                                                              </w:divBdr>
                                                              <w:divsChild>
                                                                <w:div w:id="11850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0101035">
      <w:bodyDiv w:val="1"/>
      <w:marLeft w:val="0"/>
      <w:marRight w:val="0"/>
      <w:marTop w:val="0"/>
      <w:marBottom w:val="0"/>
      <w:divBdr>
        <w:top w:val="none" w:sz="0" w:space="0" w:color="auto"/>
        <w:left w:val="none" w:sz="0" w:space="0" w:color="auto"/>
        <w:bottom w:val="none" w:sz="0" w:space="0" w:color="auto"/>
        <w:right w:val="none" w:sz="0" w:space="0" w:color="auto"/>
      </w:divBdr>
    </w:div>
    <w:div w:id="850414150">
      <w:bodyDiv w:val="1"/>
      <w:marLeft w:val="0"/>
      <w:marRight w:val="0"/>
      <w:marTop w:val="0"/>
      <w:marBottom w:val="0"/>
      <w:divBdr>
        <w:top w:val="none" w:sz="0" w:space="0" w:color="auto"/>
        <w:left w:val="none" w:sz="0" w:space="0" w:color="auto"/>
        <w:bottom w:val="none" w:sz="0" w:space="0" w:color="auto"/>
        <w:right w:val="none" w:sz="0" w:space="0" w:color="auto"/>
      </w:divBdr>
    </w:div>
    <w:div w:id="865874311">
      <w:bodyDiv w:val="1"/>
      <w:marLeft w:val="0"/>
      <w:marRight w:val="0"/>
      <w:marTop w:val="0"/>
      <w:marBottom w:val="0"/>
      <w:divBdr>
        <w:top w:val="none" w:sz="0" w:space="0" w:color="auto"/>
        <w:left w:val="none" w:sz="0" w:space="0" w:color="auto"/>
        <w:bottom w:val="none" w:sz="0" w:space="0" w:color="auto"/>
        <w:right w:val="none" w:sz="0" w:space="0" w:color="auto"/>
      </w:divBdr>
    </w:div>
    <w:div w:id="940065960">
      <w:bodyDiv w:val="1"/>
      <w:marLeft w:val="0"/>
      <w:marRight w:val="0"/>
      <w:marTop w:val="0"/>
      <w:marBottom w:val="0"/>
      <w:divBdr>
        <w:top w:val="none" w:sz="0" w:space="0" w:color="auto"/>
        <w:left w:val="none" w:sz="0" w:space="0" w:color="auto"/>
        <w:bottom w:val="none" w:sz="0" w:space="0" w:color="auto"/>
        <w:right w:val="none" w:sz="0" w:space="0" w:color="auto"/>
      </w:divBdr>
    </w:div>
    <w:div w:id="993145152">
      <w:bodyDiv w:val="1"/>
      <w:marLeft w:val="0"/>
      <w:marRight w:val="0"/>
      <w:marTop w:val="0"/>
      <w:marBottom w:val="0"/>
      <w:divBdr>
        <w:top w:val="none" w:sz="0" w:space="0" w:color="auto"/>
        <w:left w:val="none" w:sz="0" w:space="0" w:color="auto"/>
        <w:bottom w:val="none" w:sz="0" w:space="0" w:color="auto"/>
        <w:right w:val="none" w:sz="0" w:space="0" w:color="auto"/>
      </w:divBdr>
    </w:div>
    <w:div w:id="1035541087">
      <w:bodyDiv w:val="1"/>
      <w:marLeft w:val="0"/>
      <w:marRight w:val="0"/>
      <w:marTop w:val="0"/>
      <w:marBottom w:val="0"/>
      <w:divBdr>
        <w:top w:val="none" w:sz="0" w:space="0" w:color="auto"/>
        <w:left w:val="none" w:sz="0" w:space="0" w:color="auto"/>
        <w:bottom w:val="none" w:sz="0" w:space="0" w:color="auto"/>
        <w:right w:val="none" w:sz="0" w:space="0" w:color="auto"/>
      </w:divBdr>
    </w:div>
    <w:div w:id="1055549540">
      <w:bodyDiv w:val="1"/>
      <w:marLeft w:val="0"/>
      <w:marRight w:val="0"/>
      <w:marTop w:val="0"/>
      <w:marBottom w:val="0"/>
      <w:divBdr>
        <w:top w:val="none" w:sz="0" w:space="0" w:color="auto"/>
        <w:left w:val="none" w:sz="0" w:space="0" w:color="auto"/>
        <w:bottom w:val="none" w:sz="0" w:space="0" w:color="auto"/>
        <w:right w:val="none" w:sz="0" w:space="0" w:color="auto"/>
      </w:divBdr>
    </w:div>
    <w:div w:id="1122069931">
      <w:bodyDiv w:val="1"/>
      <w:marLeft w:val="0"/>
      <w:marRight w:val="0"/>
      <w:marTop w:val="0"/>
      <w:marBottom w:val="0"/>
      <w:divBdr>
        <w:top w:val="none" w:sz="0" w:space="0" w:color="auto"/>
        <w:left w:val="none" w:sz="0" w:space="0" w:color="auto"/>
        <w:bottom w:val="none" w:sz="0" w:space="0" w:color="auto"/>
        <w:right w:val="none" w:sz="0" w:space="0" w:color="auto"/>
      </w:divBdr>
    </w:div>
    <w:div w:id="1171333476">
      <w:bodyDiv w:val="1"/>
      <w:marLeft w:val="0"/>
      <w:marRight w:val="0"/>
      <w:marTop w:val="0"/>
      <w:marBottom w:val="0"/>
      <w:divBdr>
        <w:top w:val="none" w:sz="0" w:space="0" w:color="auto"/>
        <w:left w:val="none" w:sz="0" w:space="0" w:color="auto"/>
        <w:bottom w:val="none" w:sz="0" w:space="0" w:color="auto"/>
        <w:right w:val="none" w:sz="0" w:space="0" w:color="auto"/>
      </w:divBdr>
    </w:div>
    <w:div w:id="1214073042">
      <w:bodyDiv w:val="1"/>
      <w:marLeft w:val="0"/>
      <w:marRight w:val="0"/>
      <w:marTop w:val="0"/>
      <w:marBottom w:val="0"/>
      <w:divBdr>
        <w:top w:val="none" w:sz="0" w:space="0" w:color="auto"/>
        <w:left w:val="none" w:sz="0" w:space="0" w:color="auto"/>
        <w:bottom w:val="none" w:sz="0" w:space="0" w:color="auto"/>
        <w:right w:val="none" w:sz="0" w:space="0" w:color="auto"/>
      </w:divBdr>
      <w:divsChild>
        <w:div w:id="2030793855">
          <w:marLeft w:val="0"/>
          <w:marRight w:val="0"/>
          <w:marTop w:val="0"/>
          <w:marBottom w:val="0"/>
          <w:divBdr>
            <w:top w:val="none" w:sz="0" w:space="0" w:color="auto"/>
            <w:left w:val="none" w:sz="0" w:space="0" w:color="auto"/>
            <w:bottom w:val="none" w:sz="0" w:space="0" w:color="auto"/>
            <w:right w:val="none" w:sz="0" w:space="0" w:color="auto"/>
          </w:divBdr>
          <w:divsChild>
            <w:div w:id="659770733">
              <w:marLeft w:val="0"/>
              <w:marRight w:val="0"/>
              <w:marTop w:val="0"/>
              <w:marBottom w:val="0"/>
              <w:divBdr>
                <w:top w:val="none" w:sz="0" w:space="0" w:color="auto"/>
                <w:left w:val="none" w:sz="0" w:space="0" w:color="auto"/>
                <w:bottom w:val="none" w:sz="0" w:space="0" w:color="auto"/>
                <w:right w:val="none" w:sz="0" w:space="0" w:color="auto"/>
              </w:divBdr>
              <w:divsChild>
                <w:div w:id="1644459998">
                  <w:marLeft w:val="0"/>
                  <w:marRight w:val="0"/>
                  <w:marTop w:val="0"/>
                  <w:marBottom w:val="0"/>
                  <w:divBdr>
                    <w:top w:val="none" w:sz="0" w:space="0" w:color="auto"/>
                    <w:left w:val="none" w:sz="0" w:space="0" w:color="auto"/>
                    <w:bottom w:val="none" w:sz="0" w:space="0" w:color="auto"/>
                    <w:right w:val="none" w:sz="0" w:space="0" w:color="auto"/>
                  </w:divBdr>
                  <w:divsChild>
                    <w:div w:id="1828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159023">
      <w:bodyDiv w:val="1"/>
      <w:marLeft w:val="0"/>
      <w:marRight w:val="0"/>
      <w:marTop w:val="0"/>
      <w:marBottom w:val="0"/>
      <w:divBdr>
        <w:top w:val="none" w:sz="0" w:space="0" w:color="auto"/>
        <w:left w:val="none" w:sz="0" w:space="0" w:color="auto"/>
        <w:bottom w:val="none" w:sz="0" w:space="0" w:color="auto"/>
        <w:right w:val="none" w:sz="0" w:space="0" w:color="auto"/>
      </w:divBdr>
    </w:div>
    <w:div w:id="1217819650">
      <w:bodyDiv w:val="1"/>
      <w:marLeft w:val="0"/>
      <w:marRight w:val="0"/>
      <w:marTop w:val="0"/>
      <w:marBottom w:val="0"/>
      <w:divBdr>
        <w:top w:val="none" w:sz="0" w:space="0" w:color="auto"/>
        <w:left w:val="none" w:sz="0" w:space="0" w:color="auto"/>
        <w:bottom w:val="none" w:sz="0" w:space="0" w:color="auto"/>
        <w:right w:val="none" w:sz="0" w:space="0" w:color="auto"/>
      </w:divBdr>
    </w:div>
    <w:div w:id="1247107238">
      <w:bodyDiv w:val="1"/>
      <w:marLeft w:val="0"/>
      <w:marRight w:val="0"/>
      <w:marTop w:val="0"/>
      <w:marBottom w:val="0"/>
      <w:divBdr>
        <w:top w:val="none" w:sz="0" w:space="0" w:color="auto"/>
        <w:left w:val="none" w:sz="0" w:space="0" w:color="auto"/>
        <w:bottom w:val="none" w:sz="0" w:space="0" w:color="auto"/>
        <w:right w:val="none" w:sz="0" w:space="0" w:color="auto"/>
      </w:divBdr>
    </w:div>
    <w:div w:id="1249659980">
      <w:bodyDiv w:val="1"/>
      <w:marLeft w:val="0"/>
      <w:marRight w:val="0"/>
      <w:marTop w:val="0"/>
      <w:marBottom w:val="0"/>
      <w:divBdr>
        <w:top w:val="none" w:sz="0" w:space="0" w:color="auto"/>
        <w:left w:val="none" w:sz="0" w:space="0" w:color="auto"/>
        <w:bottom w:val="none" w:sz="0" w:space="0" w:color="auto"/>
        <w:right w:val="none" w:sz="0" w:space="0" w:color="auto"/>
      </w:divBdr>
    </w:div>
    <w:div w:id="1255094205">
      <w:bodyDiv w:val="1"/>
      <w:marLeft w:val="0"/>
      <w:marRight w:val="0"/>
      <w:marTop w:val="0"/>
      <w:marBottom w:val="0"/>
      <w:divBdr>
        <w:top w:val="none" w:sz="0" w:space="0" w:color="auto"/>
        <w:left w:val="none" w:sz="0" w:space="0" w:color="auto"/>
        <w:bottom w:val="none" w:sz="0" w:space="0" w:color="auto"/>
        <w:right w:val="none" w:sz="0" w:space="0" w:color="auto"/>
      </w:divBdr>
      <w:divsChild>
        <w:div w:id="751391905">
          <w:marLeft w:val="0"/>
          <w:marRight w:val="0"/>
          <w:marTop w:val="0"/>
          <w:marBottom w:val="0"/>
          <w:divBdr>
            <w:top w:val="none" w:sz="0" w:space="0" w:color="auto"/>
            <w:left w:val="none" w:sz="0" w:space="0" w:color="auto"/>
            <w:bottom w:val="none" w:sz="0" w:space="0" w:color="auto"/>
            <w:right w:val="none" w:sz="0" w:space="0" w:color="auto"/>
          </w:divBdr>
          <w:divsChild>
            <w:div w:id="1458985538">
              <w:marLeft w:val="0"/>
              <w:marRight w:val="0"/>
              <w:marTop w:val="0"/>
              <w:marBottom w:val="0"/>
              <w:divBdr>
                <w:top w:val="none" w:sz="0" w:space="0" w:color="auto"/>
                <w:left w:val="none" w:sz="0" w:space="0" w:color="auto"/>
                <w:bottom w:val="none" w:sz="0" w:space="0" w:color="auto"/>
                <w:right w:val="none" w:sz="0" w:space="0" w:color="auto"/>
              </w:divBdr>
              <w:divsChild>
                <w:div w:id="400567982">
                  <w:marLeft w:val="0"/>
                  <w:marRight w:val="0"/>
                  <w:marTop w:val="0"/>
                  <w:marBottom w:val="0"/>
                  <w:divBdr>
                    <w:top w:val="none" w:sz="0" w:space="0" w:color="auto"/>
                    <w:left w:val="none" w:sz="0" w:space="0" w:color="auto"/>
                    <w:bottom w:val="none" w:sz="0" w:space="0" w:color="auto"/>
                    <w:right w:val="none" w:sz="0" w:space="0" w:color="auto"/>
                  </w:divBdr>
                  <w:divsChild>
                    <w:div w:id="1654527085">
                      <w:marLeft w:val="0"/>
                      <w:marRight w:val="63"/>
                      <w:marTop w:val="125"/>
                      <w:marBottom w:val="63"/>
                      <w:divBdr>
                        <w:top w:val="none" w:sz="0" w:space="0" w:color="auto"/>
                        <w:left w:val="none" w:sz="0" w:space="0" w:color="auto"/>
                        <w:bottom w:val="none" w:sz="0" w:space="0" w:color="auto"/>
                        <w:right w:val="none" w:sz="0" w:space="0" w:color="auto"/>
                      </w:divBdr>
                      <w:divsChild>
                        <w:div w:id="1587574198">
                          <w:marLeft w:val="0"/>
                          <w:marRight w:val="0"/>
                          <w:marTop w:val="0"/>
                          <w:marBottom w:val="0"/>
                          <w:divBdr>
                            <w:top w:val="none" w:sz="0" w:space="0" w:color="auto"/>
                            <w:left w:val="none" w:sz="0" w:space="0" w:color="auto"/>
                            <w:bottom w:val="none" w:sz="0" w:space="0" w:color="auto"/>
                            <w:right w:val="none" w:sz="0" w:space="0" w:color="auto"/>
                          </w:divBdr>
                          <w:divsChild>
                            <w:div w:id="505632623">
                              <w:marLeft w:val="0"/>
                              <w:marRight w:val="0"/>
                              <w:marTop w:val="0"/>
                              <w:marBottom w:val="0"/>
                              <w:divBdr>
                                <w:top w:val="none" w:sz="0" w:space="0" w:color="auto"/>
                                <w:left w:val="none" w:sz="0" w:space="0" w:color="auto"/>
                                <w:bottom w:val="none" w:sz="0" w:space="0" w:color="auto"/>
                                <w:right w:val="none" w:sz="0" w:space="0" w:color="auto"/>
                              </w:divBdr>
                              <w:divsChild>
                                <w:div w:id="15898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051605">
      <w:bodyDiv w:val="1"/>
      <w:marLeft w:val="0"/>
      <w:marRight w:val="0"/>
      <w:marTop w:val="0"/>
      <w:marBottom w:val="0"/>
      <w:divBdr>
        <w:top w:val="none" w:sz="0" w:space="0" w:color="auto"/>
        <w:left w:val="none" w:sz="0" w:space="0" w:color="auto"/>
        <w:bottom w:val="none" w:sz="0" w:space="0" w:color="auto"/>
        <w:right w:val="none" w:sz="0" w:space="0" w:color="auto"/>
      </w:divBdr>
    </w:div>
    <w:div w:id="1269579544">
      <w:bodyDiv w:val="1"/>
      <w:marLeft w:val="0"/>
      <w:marRight w:val="0"/>
      <w:marTop w:val="0"/>
      <w:marBottom w:val="0"/>
      <w:divBdr>
        <w:top w:val="none" w:sz="0" w:space="0" w:color="auto"/>
        <w:left w:val="none" w:sz="0" w:space="0" w:color="auto"/>
        <w:bottom w:val="none" w:sz="0" w:space="0" w:color="auto"/>
        <w:right w:val="none" w:sz="0" w:space="0" w:color="auto"/>
      </w:divBdr>
    </w:div>
    <w:div w:id="1272474956">
      <w:bodyDiv w:val="1"/>
      <w:marLeft w:val="0"/>
      <w:marRight w:val="0"/>
      <w:marTop w:val="0"/>
      <w:marBottom w:val="0"/>
      <w:divBdr>
        <w:top w:val="none" w:sz="0" w:space="0" w:color="auto"/>
        <w:left w:val="none" w:sz="0" w:space="0" w:color="auto"/>
        <w:bottom w:val="none" w:sz="0" w:space="0" w:color="auto"/>
        <w:right w:val="none" w:sz="0" w:space="0" w:color="auto"/>
      </w:divBdr>
    </w:div>
    <w:div w:id="1292397000">
      <w:bodyDiv w:val="1"/>
      <w:marLeft w:val="0"/>
      <w:marRight w:val="0"/>
      <w:marTop w:val="0"/>
      <w:marBottom w:val="0"/>
      <w:divBdr>
        <w:top w:val="none" w:sz="0" w:space="0" w:color="auto"/>
        <w:left w:val="none" w:sz="0" w:space="0" w:color="auto"/>
        <w:bottom w:val="none" w:sz="0" w:space="0" w:color="auto"/>
        <w:right w:val="none" w:sz="0" w:space="0" w:color="auto"/>
      </w:divBdr>
    </w:div>
    <w:div w:id="1305433170">
      <w:bodyDiv w:val="1"/>
      <w:marLeft w:val="0"/>
      <w:marRight w:val="0"/>
      <w:marTop w:val="0"/>
      <w:marBottom w:val="0"/>
      <w:divBdr>
        <w:top w:val="none" w:sz="0" w:space="0" w:color="auto"/>
        <w:left w:val="none" w:sz="0" w:space="0" w:color="auto"/>
        <w:bottom w:val="none" w:sz="0" w:space="0" w:color="auto"/>
        <w:right w:val="none" w:sz="0" w:space="0" w:color="auto"/>
      </w:divBdr>
    </w:div>
    <w:div w:id="1312637073">
      <w:bodyDiv w:val="1"/>
      <w:marLeft w:val="0"/>
      <w:marRight w:val="0"/>
      <w:marTop w:val="0"/>
      <w:marBottom w:val="0"/>
      <w:divBdr>
        <w:top w:val="none" w:sz="0" w:space="0" w:color="auto"/>
        <w:left w:val="none" w:sz="0" w:space="0" w:color="auto"/>
        <w:bottom w:val="none" w:sz="0" w:space="0" w:color="auto"/>
        <w:right w:val="none" w:sz="0" w:space="0" w:color="auto"/>
      </w:divBdr>
    </w:div>
    <w:div w:id="1450926832">
      <w:bodyDiv w:val="1"/>
      <w:marLeft w:val="0"/>
      <w:marRight w:val="0"/>
      <w:marTop w:val="0"/>
      <w:marBottom w:val="0"/>
      <w:divBdr>
        <w:top w:val="none" w:sz="0" w:space="0" w:color="auto"/>
        <w:left w:val="none" w:sz="0" w:space="0" w:color="auto"/>
        <w:bottom w:val="none" w:sz="0" w:space="0" w:color="auto"/>
        <w:right w:val="none" w:sz="0" w:space="0" w:color="auto"/>
      </w:divBdr>
    </w:div>
    <w:div w:id="1451588652">
      <w:bodyDiv w:val="1"/>
      <w:marLeft w:val="0"/>
      <w:marRight w:val="0"/>
      <w:marTop w:val="0"/>
      <w:marBottom w:val="0"/>
      <w:divBdr>
        <w:top w:val="none" w:sz="0" w:space="0" w:color="auto"/>
        <w:left w:val="none" w:sz="0" w:space="0" w:color="auto"/>
        <w:bottom w:val="none" w:sz="0" w:space="0" w:color="auto"/>
        <w:right w:val="none" w:sz="0" w:space="0" w:color="auto"/>
      </w:divBdr>
    </w:div>
    <w:div w:id="1463379719">
      <w:bodyDiv w:val="1"/>
      <w:marLeft w:val="0"/>
      <w:marRight w:val="0"/>
      <w:marTop w:val="0"/>
      <w:marBottom w:val="0"/>
      <w:divBdr>
        <w:top w:val="none" w:sz="0" w:space="0" w:color="auto"/>
        <w:left w:val="none" w:sz="0" w:space="0" w:color="auto"/>
        <w:bottom w:val="none" w:sz="0" w:space="0" w:color="auto"/>
        <w:right w:val="none" w:sz="0" w:space="0" w:color="auto"/>
      </w:divBdr>
    </w:div>
    <w:div w:id="1504125274">
      <w:bodyDiv w:val="1"/>
      <w:marLeft w:val="0"/>
      <w:marRight w:val="0"/>
      <w:marTop w:val="0"/>
      <w:marBottom w:val="0"/>
      <w:divBdr>
        <w:top w:val="none" w:sz="0" w:space="0" w:color="auto"/>
        <w:left w:val="none" w:sz="0" w:space="0" w:color="auto"/>
        <w:bottom w:val="none" w:sz="0" w:space="0" w:color="auto"/>
        <w:right w:val="none" w:sz="0" w:space="0" w:color="auto"/>
      </w:divBdr>
    </w:div>
    <w:div w:id="1515151193">
      <w:bodyDiv w:val="1"/>
      <w:marLeft w:val="0"/>
      <w:marRight w:val="0"/>
      <w:marTop w:val="0"/>
      <w:marBottom w:val="0"/>
      <w:divBdr>
        <w:top w:val="none" w:sz="0" w:space="0" w:color="auto"/>
        <w:left w:val="none" w:sz="0" w:space="0" w:color="auto"/>
        <w:bottom w:val="none" w:sz="0" w:space="0" w:color="auto"/>
        <w:right w:val="none" w:sz="0" w:space="0" w:color="auto"/>
      </w:divBdr>
    </w:div>
    <w:div w:id="1535775531">
      <w:bodyDiv w:val="1"/>
      <w:marLeft w:val="0"/>
      <w:marRight w:val="0"/>
      <w:marTop w:val="0"/>
      <w:marBottom w:val="0"/>
      <w:divBdr>
        <w:top w:val="single" w:sz="6" w:space="0" w:color="FFFFFF"/>
        <w:left w:val="none" w:sz="0" w:space="0" w:color="auto"/>
        <w:bottom w:val="none" w:sz="0" w:space="0" w:color="auto"/>
        <w:right w:val="none" w:sz="0" w:space="0" w:color="auto"/>
      </w:divBdr>
      <w:divsChild>
        <w:div w:id="1032077626">
          <w:marLeft w:val="0"/>
          <w:marRight w:val="0"/>
          <w:marTop w:val="0"/>
          <w:marBottom w:val="0"/>
          <w:divBdr>
            <w:top w:val="single" w:sz="48" w:space="0" w:color="666666"/>
            <w:left w:val="single" w:sz="48" w:space="0" w:color="666666"/>
            <w:bottom w:val="single" w:sz="48" w:space="0" w:color="666666"/>
            <w:right w:val="single" w:sz="48" w:space="0" w:color="666666"/>
          </w:divBdr>
          <w:divsChild>
            <w:div w:id="770706484">
              <w:marLeft w:val="150"/>
              <w:marRight w:val="225"/>
              <w:marTop w:val="150"/>
              <w:marBottom w:val="0"/>
              <w:divBdr>
                <w:top w:val="none" w:sz="0" w:space="0" w:color="auto"/>
                <w:left w:val="none" w:sz="0" w:space="0" w:color="auto"/>
                <w:bottom w:val="none" w:sz="0" w:space="0" w:color="auto"/>
                <w:right w:val="none" w:sz="0" w:space="0" w:color="auto"/>
              </w:divBdr>
            </w:div>
          </w:divsChild>
        </w:div>
      </w:divsChild>
    </w:div>
    <w:div w:id="1612779677">
      <w:bodyDiv w:val="1"/>
      <w:marLeft w:val="0"/>
      <w:marRight w:val="0"/>
      <w:marTop w:val="0"/>
      <w:marBottom w:val="0"/>
      <w:divBdr>
        <w:top w:val="none" w:sz="0" w:space="0" w:color="auto"/>
        <w:left w:val="none" w:sz="0" w:space="0" w:color="auto"/>
        <w:bottom w:val="none" w:sz="0" w:space="0" w:color="auto"/>
        <w:right w:val="none" w:sz="0" w:space="0" w:color="auto"/>
      </w:divBdr>
    </w:div>
    <w:div w:id="1752851476">
      <w:bodyDiv w:val="1"/>
      <w:marLeft w:val="0"/>
      <w:marRight w:val="0"/>
      <w:marTop w:val="0"/>
      <w:marBottom w:val="0"/>
      <w:divBdr>
        <w:top w:val="none" w:sz="0" w:space="0" w:color="auto"/>
        <w:left w:val="none" w:sz="0" w:space="0" w:color="auto"/>
        <w:bottom w:val="none" w:sz="0" w:space="0" w:color="auto"/>
        <w:right w:val="none" w:sz="0" w:space="0" w:color="auto"/>
      </w:divBdr>
    </w:div>
    <w:div w:id="1814058195">
      <w:bodyDiv w:val="1"/>
      <w:marLeft w:val="0"/>
      <w:marRight w:val="0"/>
      <w:marTop w:val="0"/>
      <w:marBottom w:val="0"/>
      <w:divBdr>
        <w:top w:val="none" w:sz="0" w:space="0" w:color="auto"/>
        <w:left w:val="none" w:sz="0" w:space="0" w:color="auto"/>
        <w:bottom w:val="none" w:sz="0" w:space="0" w:color="auto"/>
        <w:right w:val="none" w:sz="0" w:space="0" w:color="auto"/>
      </w:divBdr>
    </w:div>
    <w:div w:id="1895769851">
      <w:bodyDiv w:val="1"/>
      <w:marLeft w:val="0"/>
      <w:marRight w:val="0"/>
      <w:marTop w:val="0"/>
      <w:marBottom w:val="0"/>
      <w:divBdr>
        <w:top w:val="none" w:sz="0" w:space="0" w:color="auto"/>
        <w:left w:val="none" w:sz="0" w:space="0" w:color="auto"/>
        <w:bottom w:val="none" w:sz="0" w:space="0" w:color="auto"/>
        <w:right w:val="none" w:sz="0" w:space="0" w:color="auto"/>
      </w:divBdr>
    </w:div>
    <w:div w:id="1959096098">
      <w:bodyDiv w:val="1"/>
      <w:marLeft w:val="0"/>
      <w:marRight w:val="0"/>
      <w:marTop w:val="0"/>
      <w:marBottom w:val="0"/>
      <w:divBdr>
        <w:top w:val="none" w:sz="0" w:space="0" w:color="auto"/>
        <w:left w:val="none" w:sz="0" w:space="0" w:color="auto"/>
        <w:bottom w:val="none" w:sz="0" w:space="0" w:color="auto"/>
        <w:right w:val="none" w:sz="0" w:space="0" w:color="auto"/>
      </w:divBdr>
    </w:div>
    <w:div w:id="2002076612">
      <w:bodyDiv w:val="1"/>
      <w:marLeft w:val="0"/>
      <w:marRight w:val="0"/>
      <w:marTop w:val="0"/>
      <w:marBottom w:val="0"/>
      <w:divBdr>
        <w:top w:val="none" w:sz="0" w:space="0" w:color="auto"/>
        <w:left w:val="none" w:sz="0" w:space="0" w:color="auto"/>
        <w:bottom w:val="none" w:sz="0" w:space="0" w:color="auto"/>
        <w:right w:val="none" w:sz="0" w:space="0" w:color="auto"/>
      </w:divBdr>
    </w:div>
    <w:div w:id="2002808648">
      <w:bodyDiv w:val="1"/>
      <w:marLeft w:val="0"/>
      <w:marRight w:val="0"/>
      <w:marTop w:val="0"/>
      <w:marBottom w:val="0"/>
      <w:divBdr>
        <w:top w:val="none" w:sz="0" w:space="0" w:color="auto"/>
        <w:left w:val="none" w:sz="0" w:space="0" w:color="auto"/>
        <w:bottom w:val="none" w:sz="0" w:space="0" w:color="auto"/>
        <w:right w:val="none" w:sz="0" w:space="0" w:color="auto"/>
      </w:divBdr>
      <w:divsChild>
        <w:div w:id="594018991">
          <w:marLeft w:val="0"/>
          <w:marRight w:val="0"/>
          <w:marTop w:val="0"/>
          <w:marBottom w:val="0"/>
          <w:divBdr>
            <w:top w:val="none" w:sz="0" w:space="0" w:color="auto"/>
            <w:left w:val="none" w:sz="0" w:space="0" w:color="auto"/>
            <w:bottom w:val="none" w:sz="0" w:space="0" w:color="auto"/>
            <w:right w:val="none" w:sz="0" w:space="0" w:color="auto"/>
          </w:divBdr>
          <w:divsChild>
            <w:div w:id="585190530">
              <w:marLeft w:val="0"/>
              <w:marRight w:val="0"/>
              <w:marTop w:val="0"/>
              <w:marBottom w:val="0"/>
              <w:divBdr>
                <w:top w:val="none" w:sz="0" w:space="0" w:color="auto"/>
                <w:left w:val="none" w:sz="0" w:space="0" w:color="auto"/>
                <w:bottom w:val="none" w:sz="0" w:space="0" w:color="auto"/>
                <w:right w:val="none" w:sz="0" w:space="0" w:color="auto"/>
              </w:divBdr>
              <w:divsChild>
                <w:div w:id="1550996910">
                  <w:marLeft w:val="0"/>
                  <w:marRight w:val="0"/>
                  <w:marTop w:val="0"/>
                  <w:marBottom w:val="0"/>
                  <w:divBdr>
                    <w:top w:val="none" w:sz="0" w:space="0" w:color="auto"/>
                    <w:left w:val="none" w:sz="0" w:space="0" w:color="auto"/>
                    <w:bottom w:val="none" w:sz="0" w:space="0" w:color="auto"/>
                    <w:right w:val="none" w:sz="0" w:space="0" w:color="auto"/>
                  </w:divBdr>
                  <w:divsChild>
                    <w:div w:id="242296674">
                      <w:marLeft w:val="0"/>
                      <w:marRight w:val="0"/>
                      <w:marTop w:val="0"/>
                      <w:marBottom w:val="0"/>
                      <w:divBdr>
                        <w:top w:val="single" w:sz="24" w:space="0" w:color="E8E8E8"/>
                        <w:left w:val="none" w:sz="0" w:space="0" w:color="auto"/>
                        <w:bottom w:val="none" w:sz="0" w:space="0" w:color="auto"/>
                        <w:right w:val="none" w:sz="0" w:space="0" w:color="auto"/>
                      </w:divBdr>
                      <w:divsChild>
                        <w:div w:id="18892889">
                          <w:marLeft w:val="0"/>
                          <w:marRight w:val="5415"/>
                          <w:marTop w:val="0"/>
                          <w:marBottom w:val="0"/>
                          <w:divBdr>
                            <w:top w:val="none" w:sz="0" w:space="0" w:color="auto"/>
                            <w:left w:val="none" w:sz="0" w:space="0" w:color="auto"/>
                            <w:bottom w:val="none" w:sz="0" w:space="0" w:color="auto"/>
                            <w:right w:val="none" w:sz="0" w:space="0" w:color="auto"/>
                          </w:divBdr>
                          <w:divsChild>
                            <w:div w:id="417023645">
                              <w:marLeft w:val="0"/>
                              <w:marRight w:val="0"/>
                              <w:marTop w:val="0"/>
                              <w:marBottom w:val="0"/>
                              <w:divBdr>
                                <w:top w:val="single" w:sz="6" w:space="0" w:color="9B9B9B"/>
                                <w:left w:val="none" w:sz="0" w:space="0" w:color="auto"/>
                                <w:bottom w:val="none" w:sz="0" w:space="0" w:color="auto"/>
                                <w:right w:val="none" w:sz="0" w:space="0" w:color="auto"/>
                              </w:divBdr>
                              <w:divsChild>
                                <w:div w:id="2124765608">
                                  <w:marLeft w:val="0"/>
                                  <w:marRight w:val="0"/>
                                  <w:marTop w:val="0"/>
                                  <w:marBottom w:val="0"/>
                                  <w:divBdr>
                                    <w:top w:val="single" w:sz="6" w:space="0" w:color="FFFFFF"/>
                                    <w:left w:val="none" w:sz="0" w:space="0" w:color="auto"/>
                                    <w:bottom w:val="none" w:sz="0" w:space="0" w:color="auto"/>
                                    <w:right w:val="none" w:sz="0" w:space="0" w:color="auto"/>
                                  </w:divBdr>
                                  <w:divsChild>
                                    <w:div w:id="1026099017">
                                      <w:marLeft w:val="0"/>
                                      <w:marRight w:val="0"/>
                                      <w:marTop w:val="0"/>
                                      <w:marBottom w:val="0"/>
                                      <w:divBdr>
                                        <w:top w:val="none" w:sz="0" w:space="0" w:color="auto"/>
                                        <w:left w:val="none" w:sz="0" w:space="0" w:color="auto"/>
                                        <w:bottom w:val="none" w:sz="0" w:space="0" w:color="auto"/>
                                        <w:right w:val="none" w:sz="0" w:space="0" w:color="auto"/>
                                      </w:divBdr>
                                      <w:divsChild>
                                        <w:div w:id="357658476">
                                          <w:marLeft w:val="0"/>
                                          <w:marRight w:val="0"/>
                                          <w:marTop w:val="0"/>
                                          <w:marBottom w:val="0"/>
                                          <w:divBdr>
                                            <w:top w:val="none" w:sz="0" w:space="0" w:color="auto"/>
                                            <w:left w:val="none" w:sz="0" w:space="0" w:color="auto"/>
                                            <w:bottom w:val="none" w:sz="0" w:space="0" w:color="auto"/>
                                            <w:right w:val="none" w:sz="0" w:space="0" w:color="auto"/>
                                          </w:divBdr>
                                          <w:divsChild>
                                            <w:div w:id="1560483148">
                                              <w:marLeft w:val="0"/>
                                              <w:marRight w:val="0"/>
                                              <w:marTop w:val="0"/>
                                              <w:marBottom w:val="0"/>
                                              <w:divBdr>
                                                <w:top w:val="none" w:sz="0" w:space="0" w:color="auto"/>
                                                <w:left w:val="none" w:sz="0" w:space="0" w:color="auto"/>
                                                <w:bottom w:val="none" w:sz="0" w:space="0" w:color="auto"/>
                                                <w:right w:val="none" w:sz="0" w:space="0" w:color="auto"/>
                                              </w:divBdr>
                                              <w:divsChild>
                                                <w:div w:id="1837573989">
                                                  <w:marLeft w:val="45"/>
                                                  <w:marRight w:val="75"/>
                                                  <w:marTop w:val="0"/>
                                                  <w:marBottom w:val="0"/>
                                                  <w:divBdr>
                                                    <w:top w:val="none" w:sz="0" w:space="0" w:color="auto"/>
                                                    <w:left w:val="none" w:sz="0" w:space="0" w:color="auto"/>
                                                    <w:bottom w:val="none" w:sz="0" w:space="0" w:color="auto"/>
                                                    <w:right w:val="none" w:sz="0" w:space="0" w:color="auto"/>
                                                  </w:divBdr>
                                                  <w:divsChild>
                                                    <w:div w:id="1785923204">
                                                      <w:marLeft w:val="0"/>
                                                      <w:marRight w:val="0"/>
                                                      <w:marTop w:val="0"/>
                                                      <w:marBottom w:val="0"/>
                                                      <w:divBdr>
                                                        <w:top w:val="none" w:sz="0" w:space="0" w:color="auto"/>
                                                        <w:left w:val="none" w:sz="0" w:space="0" w:color="auto"/>
                                                        <w:bottom w:val="none" w:sz="0" w:space="0" w:color="auto"/>
                                                        <w:right w:val="none" w:sz="0" w:space="0" w:color="auto"/>
                                                      </w:divBdr>
                                                      <w:divsChild>
                                                        <w:div w:id="285309576">
                                                          <w:marLeft w:val="0"/>
                                                          <w:marRight w:val="-24000"/>
                                                          <w:marTop w:val="0"/>
                                                          <w:marBottom w:val="0"/>
                                                          <w:divBdr>
                                                            <w:top w:val="none" w:sz="0" w:space="0" w:color="auto"/>
                                                            <w:left w:val="none" w:sz="0" w:space="0" w:color="auto"/>
                                                            <w:bottom w:val="none" w:sz="0" w:space="0" w:color="auto"/>
                                                            <w:right w:val="none" w:sz="0" w:space="0" w:color="auto"/>
                                                          </w:divBdr>
                                                          <w:divsChild>
                                                            <w:div w:id="1262882454">
                                                              <w:marLeft w:val="0"/>
                                                              <w:marRight w:val="0"/>
                                                              <w:marTop w:val="0"/>
                                                              <w:marBottom w:val="0"/>
                                                              <w:divBdr>
                                                                <w:top w:val="none" w:sz="0" w:space="0" w:color="auto"/>
                                                                <w:left w:val="none" w:sz="0" w:space="0" w:color="auto"/>
                                                                <w:bottom w:val="none" w:sz="0" w:space="0" w:color="auto"/>
                                                                <w:right w:val="none" w:sz="0" w:space="0" w:color="auto"/>
                                                              </w:divBdr>
                                                              <w:divsChild>
                                                                <w:div w:id="20643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319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yperlink" Target="http://ideas.repec.org/s/wbk/wbrwps.html" TargetMode="External"/><Relationship Id="rId26"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hyperlink" Target="http://www.springerlink.com/content/1610-2878/146/3/"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ideas.repec.org/p/wbk/wbrwps/5222.html" TargetMode="External"/><Relationship Id="rId25"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http://ideas.repec.org/s/eee/wdevel.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1.emf"/><Relationship Id="rId28"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hyperlink" Target="http://ideas.repec.org/a/eee/wdevel/v38y2010i9p1217-1228.html"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C0B6E-7420-4E3C-B4AD-38DE519ED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9516</Words>
  <Characters>52341</Characters>
  <Application>Microsoft Office Word</Application>
  <DocSecurity>0</DocSecurity>
  <Lines>436</Lines>
  <Paragraphs>123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The World Bank Group</Company>
  <LinksUpToDate>false</LinksUpToDate>
  <CharactersWithSpaces>61734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wb364874</dc:creator>
  <cp:lastModifiedBy>Ana Cristina</cp:lastModifiedBy>
  <cp:revision>3</cp:revision>
  <cp:lastPrinted>2011-10-02T17:15:00Z</cp:lastPrinted>
  <dcterms:created xsi:type="dcterms:W3CDTF">2011-10-03T22:00:00Z</dcterms:created>
  <dcterms:modified xsi:type="dcterms:W3CDTF">2011-10-03T22:11:00Z</dcterms:modified>
</cp:coreProperties>
</file>